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C2609C" w14:textId="0A53925F" w:rsidR="007D06FC" w:rsidRDefault="00BE421F" w:rsidP="007D06FC">
      <w:pPr>
        <w:rPr>
          <w:rFonts w:asciiTheme="minorHAnsi" w:hAnsiTheme="minorHAnsi"/>
          <w:noProof/>
          <w:sz w:val="22"/>
          <w:szCs w:val="22"/>
        </w:rPr>
      </w:pPr>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307788">
        <w:rPr>
          <w:rFonts w:asciiTheme="minorHAnsi" w:hAnsiTheme="minorHAnsi"/>
          <w:noProof/>
          <w:sz w:val="22"/>
          <w:szCs w:val="22"/>
        </w:rPr>
        <w:t>2</w:t>
      </w:r>
      <w:r w:rsidR="001E2EA8">
        <w:rPr>
          <w:rFonts w:asciiTheme="minorHAnsi" w:hAnsiTheme="minorHAnsi"/>
          <w:noProof/>
          <w:sz w:val="22"/>
          <w:szCs w:val="22"/>
        </w:rPr>
        <w:t>8</w:t>
      </w:r>
      <w:r w:rsidR="00307788">
        <w:rPr>
          <w:rFonts w:asciiTheme="minorHAnsi" w:hAnsiTheme="minorHAnsi"/>
          <w:noProof/>
          <w:sz w:val="22"/>
          <w:szCs w:val="22"/>
        </w:rPr>
        <w:t>.0</w:t>
      </w:r>
      <w:r w:rsidR="00623E77">
        <w:rPr>
          <w:rFonts w:asciiTheme="minorHAnsi" w:hAnsiTheme="minorHAnsi"/>
          <w:noProof/>
          <w:sz w:val="22"/>
          <w:szCs w:val="22"/>
        </w:rPr>
        <w:t>2</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 xml:space="preserve">Dostawa – </w:t>
      </w:r>
      <w:r w:rsidR="001E2EA8" w:rsidRPr="001E2EA8">
        <w:rPr>
          <w:rFonts w:asciiTheme="minorHAnsi" w:hAnsiTheme="minorHAnsi"/>
          <w:noProof/>
          <w:sz w:val="22"/>
          <w:szCs w:val="22"/>
        </w:rPr>
        <w:t>Infrastruktura IT laboratoriów obliczeniowych - serwery RISC</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7F109786"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623E77">
        <w:rPr>
          <w:rFonts w:asciiTheme="minorHAnsi" w:hAnsiTheme="minorHAnsi"/>
          <w:b/>
          <w:noProof/>
          <w:sz w:val="28"/>
          <w:szCs w:val="28"/>
        </w:rPr>
        <w:t>2</w:t>
      </w:r>
      <w:r w:rsidR="001E2EA8">
        <w:rPr>
          <w:rFonts w:asciiTheme="minorHAnsi" w:hAnsiTheme="minorHAnsi"/>
          <w:b/>
          <w:noProof/>
          <w:sz w:val="28"/>
          <w:szCs w:val="28"/>
        </w:rPr>
        <w:t>8</w:t>
      </w:r>
      <w:r w:rsidR="00307788" w:rsidRPr="00307788">
        <w:rPr>
          <w:rFonts w:asciiTheme="minorHAnsi" w:hAnsiTheme="minorHAnsi"/>
          <w:b/>
          <w:noProof/>
          <w:sz w:val="28"/>
          <w:szCs w:val="28"/>
        </w:rPr>
        <w:t>.0</w:t>
      </w:r>
      <w:r w:rsidR="00623E77">
        <w:rPr>
          <w:rFonts w:asciiTheme="minorHAnsi" w:hAnsiTheme="minorHAnsi"/>
          <w:b/>
          <w:noProof/>
          <w:sz w:val="28"/>
          <w:szCs w:val="28"/>
        </w:rPr>
        <w:t>2</w:t>
      </w:r>
      <w:r w:rsidR="00307788" w:rsidRPr="00307788">
        <w:rPr>
          <w:rFonts w:asciiTheme="minorHAnsi" w:hAnsiTheme="minorHAnsi"/>
          <w:b/>
          <w:noProof/>
          <w:sz w:val="28"/>
          <w:szCs w:val="28"/>
        </w:rPr>
        <w:t>.2020r.</w:t>
      </w:r>
    </w:p>
    <w:p w14:paraId="6380E3A4" w14:textId="61FE392C"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 xml:space="preserve">Dostawa – </w:t>
      </w:r>
      <w:r w:rsidR="001E2EA8" w:rsidRPr="001E2EA8">
        <w:rPr>
          <w:rFonts w:asciiTheme="minorHAnsi" w:hAnsiTheme="minorHAnsi"/>
          <w:b/>
          <w:noProof/>
          <w:sz w:val="28"/>
          <w:szCs w:val="28"/>
        </w:rPr>
        <w:t>Infrastruktura IT laboratoriów obliczeniowych - serwery RISC</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9808ED">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902"/>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7F256A">
      <w:pPr>
        <w:pStyle w:val="Akapitzlist"/>
        <w:numPr>
          <w:ilvl w:val="0"/>
          <w:numId w:val="19"/>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
        <w:tblW w:w="0" w:type="auto"/>
        <w:tblLook w:val="04A0" w:firstRow="1" w:lastRow="0" w:firstColumn="1" w:lastColumn="0" w:noHBand="0" w:noVBand="1"/>
      </w:tblPr>
      <w:tblGrid>
        <w:gridCol w:w="2263"/>
        <w:gridCol w:w="3686"/>
        <w:gridCol w:w="1559"/>
        <w:gridCol w:w="2261"/>
      </w:tblGrid>
      <w:tr w:rsidR="00623E77" w:rsidRPr="002049AD" w14:paraId="3062CFE0" w14:textId="7C59D080" w:rsidTr="00623E77">
        <w:tc>
          <w:tcPr>
            <w:tcW w:w="2263" w:type="dxa"/>
          </w:tcPr>
          <w:p w14:paraId="5B0F4373" w14:textId="6A5E915F" w:rsidR="00623E77" w:rsidRPr="002049AD" w:rsidRDefault="00623E77" w:rsidP="003509E8">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Nazwa urządzenia</w:t>
            </w:r>
          </w:p>
        </w:tc>
        <w:tc>
          <w:tcPr>
            <w:tcW w:w="3686" w:type="dxa"/>
          </w:tcPr>
          <w:p w14:paraId="1C741FD6" w14:textId="2042DD1E"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 xml:space="preserve">Wymagany </w:t>
            </w:r>
            <w:r>
              <w:rPr>
                <w:rFonts w:asciiTheme="minorHAnsi" w:hAnsiTheme="minorHAnsi" w:cstheme="minorHAnsi"/>
                <w:b/>
                <w:noProof/>
                <w:sz w:val="22"/>
                <w:szCs w:val="22"/>
              </w:rPr>
              <w:t>parametr techniczny urządzenia (minimalne wymagania):</w:t>
            </w:r>
          </w:p>
        </w:tc>
        <w:tc>
          <w:tcPr>
            <w:tcW w:w="1559" w:type="dxa"/>
          </w:tcPr>
          <w:p w14:paraId="739B85A4" w14:textId="51D611C2"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Oświadczenie o spełnianiu wymaganego parametru technicznego przez oferowane urządzenie (TAK/NIE)</w:t>
            </w:r>
          </w:p>
        </w:tc>
        <w:tc>
          <w:tcPr>
            <w:tcW w:w="2261" w:type="dxa"/>
          </w:tcPr>
          <w:p w14:paraId="1CA0B1F8" w14:textId="0F185575" w:rsidR="00623E77" w:rsidRPr="002049AD" w:rsidRDefault="00623E77" w:rsidP="00F7593D">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Wskazanie z</w:t>
            </w:r>
            <w:r w:rsidRPr="002049AD">
              <w:rPr>
                <w:rFonts w:asciiTheme="minorHAnsi" w:hAnsiTheme="minorHAnsi" w:cstheme="minorHAnsi"/>
                <w:b/>
                <w:noProof/>
                <w:sz w:val="22"/>
                <w:szCs w:val="22"/>
              </w:rPr>
              <w:t>apis</w:t>
            </w:r>
            <w:r>
              <w:rPr>
                <w:rFonts w:asciiTheme="minorHAnsi" w:hAnsiTheme="minorHAnsi" w:cstheme="minorHAnsi"/>
                <w:b/>
                <w:noProof/>
                <w:sz w:val="22"/>
                <w:szCs w:val="22"/>
              </w:rPr>
              <w:t>u/rysunku technicznego</w:t>
            </w:r>
            <w:r w:rsidRPr="002049AD">
              <w:rPr>
                <w:rFonts w:asciiTheme="minorHAnsi" w:hAnsiTheme="minorHAnsi" w:cstheme="minorHAnsi"/>
                <w:b/>
                <w:noProof/>
                <w:sz w:val="22"/>
                <w:szCs w:val="22"/>
              </w:rPr>
              <w:t xml:space="preserve"> załącznika do oferty pn. „Specyfikacja techniczna” </w:t>
            </w:r>
            <w:r w:rsidR="00A777F7">
              <w:rPr>
                <w:rFonts w:asciiTheme="minorHAnsi" w:hAnsiTheme="minorHAnsi" w:cstheme="minorHAnsi"/>
                <w:b/>
                <w:noProof/>
                <w:sz w:val="22"/>
                <w:szCs w:val="22"/>
              </w:rPr>
              <w:t xml:space="preserve">(lub innego punktu oferty) </w:t>
            </w:r>
            <w:r w:rsidRPr="002049AD">
              <w:rPr>
                <w:rFonts w:asciiTheme="minorHAnsi" w:hAnsiTheme="minorHAnsi" w:cstheme="minorHAnsi"/>
                <w:b/>
                <w:noProof/>
                <w:sz w:val="22"/>
                <w:szCs w:val="22"/>
              </w:rPr>
              <w:t>potwierdzając</w:t>
            </w:r>
            <w:r>
              <w:rPr>
                <w:rFonts w:asciiTheme="minorHAnsi" w:hAnsiTheme="minorHAnsi" w:cstheme="minorHAnsi"/>
                <w:b/>
                <w:noProof/>
                <w:sz w:val="22"/>
                <w:szCs w:val="22"/>
              </w:rPr>
              <w:t>ego</w:t>
            </w:r>
            <w:r w:rsidRPr="002049AD">
              <w:rPr>
                <w:rFonts w:asciiTheme="minorHAnsi" w:hAnsiTheme="minorHAnsi" w:cstheme="minorHAnsi"/>
                <w:b/>
                <w:noProof/>
                <w:sz w:val="22"/>
                <w:szCs w:val="22"/>
              </w:rPr>
              <w:t xml:space="preserve"> spełnianie wymaganego parametru technicznego przez oferowane urządzenie (numer strony </w:t>
            </w:r>
            <w:r>
              <w:rPr>
                <w:rFonts w:asciiTheme="minorHAnsi" w:hAnsiTheme="minorHAnsi" w:cstheme="minorHAnsi"/>
                <w:b/>
                <w:noProof/>
                <w:sz w:val="22"/>
                <w:szCs w:val="22"/>
              </w:rPr>
              <w:t xml:space="preserve">lub numer punktu </w:t>
            </w:r>
            <w:r w:rsidRPr="002049AD">
              <w:rPr>
                <w:rFonts w:asciiTheme="minorHAnsi" w:hAnsiTheme="minorHAnsi" w:cstheme="minorHAnsi"/>
                <w:b/>
                <w:noProof/>
                <w:sz w:val="22"/>
                <w:szCs w:val="22"/>
              </w:rPr>
              <w:t xml:space="preserve">załacznika „Specyfikacja techniczna”, </w:t>
            </w:r>
            <w:r>
              <w:rPr>
                <w:rFonts w:asciiTheme="minorHAnsi" w:hAnsiTheme="minorHAnsi" w:cstheme="minorHAnsi"/>
                <w:b/>
                <w:noProof/>
                <w:sz w:val="22"/>
                <w:szCs w:val="22"/>
              </w:rPr>
              <w:t>pod którym</w:t>
            </w:r>
            <w:r w:rsidRPr="002049AD">
              <w:rPr>
                <w:rFonts w:asciiTheme="minorHAnsi" w:hAnsiTheme="minorHAnsi" w:cstheme="minorHAnsi"/>
                <w:b/>
                <w:noProof/>
                <w:sz w:val="22"/>
                <w:szCs w:val="22"/>
              </w:rPr>
              <w:t xml:space="preserve"> znajduje się ww. zapis/rysunek techniczny)</w:t>
            </w:r>
          </w:p>
        </w:tc>
      </w:tr>
      <w:tr w:rsidR="00E306DC" w:rsidRPr="002049AD" w14:paraId="57A874C2" w14:textId="5BD8271F" w:rsidTr="00623E77">
        <w:tc>
          <w:tcPr>
            <w:tcW w:w="2263" w:type="dxa"/>
          </w:tcPr>
          <w:p w14:paraId="6ED2D607" w14:textId="14A67E38" w:rsidR="00E306DC" w:rsidRPr="00F7593D" w:rsidRDefault="00E306DC" w:rsidP="00E306DC">
            <w:pPr>
              <w:spacing w:after="240" w:line="276" w:lineRule="auto"/>
              <w:jc w:val="both"/>
              <w:rPr>
                <w:rFonts w:asciiTheme="minorHAnsi" w:hAnsiTheme="minorHAnsi" w:cstheme="minorHAnsi"/>
                <w:b/>
                <w:noProof/>
                <w:sz w:val="22"/>
                <w:szCs w:val="22"/>
              </w:rPr>
            </w:pPr>
            <w:r w:rsidRPr="00A92D28">
              <w:rPr>
                <w:rFonts w:asciiTheme="minorHAnsi" w:hAnsiTheme="minorHAnsi" w:cstheme="minorHAnsi"/>
              </w:rPr>
              <w:t>Serwer  - dla środowisk opartych o systemy AIX</w:t>
            </w:r>
          </w:p>
        </w:tc>
        <w:tc>
          <w:tcPr>
            <w:tcW w:w="3686" w:type="dxa"/>
          </w:tcPr>
          <w:p w14:paraId="1B802816"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Funkcjonalność i wydajność co najmniej taka jak:</w:t>
            </w:r>
          </w:p>
          <w:p w14:paraId="1E8E9EA0" w14:textId="77777777" w:rsidR="00E306DC" w:rsidRPr="00A92D28" w:rsidRDefault="00E306DC" w:rsidP="00E306DC">
            <w:pPr>
              <w:rPr>
                <w:rFonts w:asciiTheme="minorHAnsi" w:hAnsiTheme="minorHAnsi" w:cstheme="minorHAnsi"/>
              </w:rPr>
            </w:pPr>
          </w:p>
          <w:p w14:paraId="6068104D" w14:textId="26FA341B" w:rsidR="00E306DC" w:rsidRPr="00A92D28" w:rsidRDefault="00E306DC" w:rsidP="00E306DC">
            <w:pPr>
              <w:rPr>
                <w:rFonts w:asciiTheme="minorHAnsi" w:hAnsiTheme="minorHAnsi" w:cstheme="minorHAnsi"/>
                <w:b/>
                <w:lang w:val="en-US"/>
              </w:rPr>
            </w:pPr>
            <w:r w:rsidRPr="00A92D28">
              <w:rPr>
                <w:rFonts w:asciiTheme="minorHAnsi" w:hAnsiTheme="minorHAnsi" w:cstheme="minorHAnsi"/>
                <w:b/>
                <w:lang w:val="en-US"/>
              </w:rPr>
              <w:t xml:space="preserve">1. </w:t>
            </w:r>
            <w:proofErr w:type="spellStart"/>
            <w:r w:rsidRPr="00A92D28">
              <w:rPr>
                <w:rFonts w:asciiTheme="minorHAnsi" w:hAnsiTheme="minorHAnsi" w:cstheme="minorHAnsi"/>
                <w:b/>
                <w:lang w:val="en-US"/>
              </w:rPr>
              <w:t>Procesor</w:t>
            </w:r>
            <w:proofErr w:type="spellEnd"/>
            <w:r w:rsidRPr="00A92D28">
              <w:rPr>
                <w:rFonts w:asciiTheme="minorHAnsi" w:hAnsiTheme="minorHAnsi" w:cstheme="minorHAnsi"/>
                <w:b/>
                <w:lang w:val="en-US"/>
              </w:rPr>
              <w:t xml:space="preserve"> Power9 20 cores (</w:t>
            </w:r>
            <w:proofErr w:type="spellStart"/>
            <w:r w:rsidRPr="00A92D28">
              <w:rPr>
                <w:rFonts w:asciiTheme="minorHAnsi" w:hAnsiTheme="minorHAnsi" w:cstheme="minorHAnsi"/>
                <w:b/>
                <w:lang w:val="en-US"/>
              </w:rPr>
              <w:t>lub</w:t>
            </w:r>
            <w:proofErr w:type="spellEnd"/>
            <w:r w:rsidRPr="00A92D28">
              <w:rPr>
                <w:rFonts w:asciiTheme="minorHAnsi" w:hAnsiTheme="minorHAnsi" w:cstheme="minorHAnsi"/>
                <w:b/>
                <w:lang w:val="en-US"/>
              </w:rPr>
              <w:t xml:space="preserve"> 2xP</w:t>
            </w:r>
            <w:r w:rsidR="00475C43">
              <w:rPr>
                <w:rFonts w:asciiTheme="minorHAnsi" w:hAnsiTheme="minorHAnsi" w:cstheme="minorHAnsi"/>
                <w:b/>
                <w:lang w:val="en-US"/>
              </w:rPr>
              <w:t>ower</w:t>
            </w:r>
            <w:r w:rsidRPr="00A92D28">
              <w:rPr>
                <w:rFonts w:asciiTheme="minorHAnsi" w:hAnsiTheme="minorHAnsi" w:cstheme="minorHAnsi"/>
                <w:b/>
                <w:lang w:val="en-US"/>
              </w:rPr>
              <w:t>9 10 cores)</w:t>
            </w:r>
          </w:p>
          <w:p w14:paraId="1346524F"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0BD06F9A"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2 gniazda procesorowe, procesor minimum 10 rdzeni na gniazdo procesorowe, zgodne z architekturą RISC (</w:t>
            </w:r>
            <w:proofErr w:type="spellStart"/>
            <w:r w:rsidRPr="00A92D28">
              <w:rPr>
                <w:rFonts w:asciiTheme="minorHAnsi" w:hAnsiTheme="minorHAnsi" w:cstheme="minorHAnsi"/>
              </w:rPr>
              <w:t>PowerPC</w:t>
            </w:r>
            <w:proofErr w:type="spellEnd"/>
            <w:r w:rsidRPr="00A92D28">
              <w:rPr>
                <w:rFonts w:asciiTheme="minorHAnsi" w:hAnsiTheme="minorHAnsi" w:cstheme="minorHAnsi"/>
              </w:rPr>
              <w:t>), taktowane zegarem min. 2,9 GHz, oferujące przetwarzanie 8 wątków na rdzeń w pojedynczym takcie procesora,</w:t>
            </w:r>
          </w:p>
          <w:p w14:paraId="565624AF" w14:textId="77777777" w:rsidR="00E306DC" w:rsidRPr="00A92D28" w:rsidRDefault="00E306DC" w:rsidP="00E306DC">
            <w:pPr>
              <w:rPr>
                <w:rFonts w:asciiTheme="minorHAnsi" w:hAnsiTheme="minorHAnsi" w:cstheme="minorHAnsi"/>
              </w:rPr>
            </w:pPr>
          </w:p>
          <w:p w14:paraId="41CA4130"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2. 2048GB ram</w:t>
            </w:r>
          </w:p>
          <w:p w14:paraId="0733B2B2"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2048 GB pamięci RAM typu DDR4 ECC, z możliwością rozbudowy do 4 TB, </w:t>
            </w:r>
          </w:p>
          <w:p w14:paraId="655B0B7D" w14:textId="77777777" w:rsidR="00E306DC" w:rsidRPr="00A92D28" w:rsidRDefault="00E306DC" w:rsidP="00E306DC">
            <w:pPr>
              <w:rPr>
                <w:rFonts w:asciiTheme="minorHAnsi" w:hAnsiTheme="minorHAnsi" w:cstheme="minorHAnsi"/>
              </w:rPr>
            </w:pPr>
          </w:p>
          <w:p w14:paraId="70D4966B" w14:textId="77777777" w:rsidR="00E306DC" w:rsidRPr="00A92D28" w:rsidRDefault="00E306DC" w:rsidP="00E306DC">
            <w:pPr>
              <w:rPr>
                <w:rFonts w:asciiTheme="minorHAnsi" w:hAnsiTheme="minorHAnsi" w:cstheme="minorHAnsi"/>
                <w:b/>
                <w:lang w:val="en-AU"/>
              </w:rPr>
            </w:pPr>
            <w:r w:rsidRPr="00A92D28">
              <w:rPr>
                <w:rFonts w:asciiTheme="minorHAnsi" w:hAnsiTheme="minorHAnsi" w:cstheme="minorHAnsi"/>
                <w:b/>
                <w:lang w:val="en-AU"/>
              </w:rPr>
              <w:t xml:space="preserve">3. 2 x 400GB SSD </w:t>
            </w:r>
            <w:proofErr w:type="spellStart"/>
            <w:r w:rsidRPr="00A92D28">
              <w:rPr>
                <w:rFonts w:asciiTheme="minorHAnsi" w:hAnsiTheme="minorHAnsi" w:cstheme="minorHAnsi"/>
                <w:b/>
                <w:lang w:val="en-AU"/>
              </w:rPr>
              <w:t>NVMe</w:t>
            </w:r>
            <w:proofErr w:type="spellEnd"/>
            <w:r w:rsidRPr="00A92D28">
              <w:rPr>
                <w:rFonts w:asciiTheme="minorHAnsi" w:hAnsiTheme="minorHAnsi" w:cstheme="minorHAnsi"/>
                <w:b/>
                <w:lang w:val="en-AU"/>
              </w:rPr>
              <w:t xml:space="preserve"> M.2</w:t>
            </w:r>
          </w:p>
          <w:p w14:paraId="269B892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37EA320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dwa wewnętrzne dyski 400GB SSD NVME M.2</w:t>
            </w:r>
          </w:p>
          <w:p w14:paraId="2E8E169A"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lastRenderedPageBreak/>
              <w:t xml:space="preserve">Możliwość zainstalowania minimum 2 kart </w:t>
            </w:r>
            <w:proofErr w:type="spellStart"/>
            <w:r w:rsidRPr="00A92D28">
              <w:rPr>
                <w:rFonts w:asciiTheme="minorHAnsi" w:hAnsiTheme="minorHAnsi" w:cstheme="minorHAnsi"/>
              </w:rPr>
              <w:t>NVMe</w:t>
            </w:r>
            <w:proofErr w:type="spellEnd"/>
            <w:r w:rsidRPr="00A92D28">
              <w:rPr>
                <w:rFonts w:asciiTheme="minorHAnsi" w:hAnsiTheme="minorHAnsi" w:cstheme="minorHAnsi"/>
              </w:rPr>
              <w:t xml:space="preserve">, każda karta z obsługą minimum 2 dysków M.2, </w:t>
            </w:r>
          </w:p>
          <w:p w14:paraId="1C05E68B" w14:textId="77777777" w:rsidR="00E306DC" w:rsidRPr="00A92D28" w:rsidRDefault="00E306DC" w:rsidP="00E306DC">
            <w:pPr>
              <w:rPr>
                <w:rFonts w:asciiTheme="minorHAnsi" w:hAnsiTheme="minorHAnsi" w:cstheme="minorHAnsi"/>
              </w:rPr>
            </w:pPr>
          </w:p>
          <w:p w14:paraId="296A18BF"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 xml:space="preserve">4. 2 x FC </w:t>
            </w:r>
            <w:proofErr w:type="spellStart"/>
            <w:r w:rsidRPr="00A92D28">
              <w:rPr>
                <w:rFonts w:asciiTheme="minorHAnsi" w:hAnsiTheme="minorHAnsi" w:cstheme="minorHAnsi"/>
                <w:b/>
              </w:rPr>
              <w:t>cards</w:t>
            </w:r>
            <w:proofErr w:type="spellEnd"/>
            <w:r w:rsidRPr="00A92D28">
              <w:rPr>
                <w:rFonts w:asciiTheme="minorHAnsi" w:hAnsiTheme="minorHAnsi" w:cstheme="minorHAnsi"/>
                <w:b/>
              </w:rPr>
              <w:t xml:space="preserve"> 16Gb</w:t>
            </w:r>
          </w:p>
          <w:p w14:paraId="66441E5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5E4CF055"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 dwuportowe kontrolery </w:t>
            </w:r>
            <w:proofErr w:type="spellStart"/>
            <w:r w:rsidRPr="00A92D28">
              <w:rPr>
                <w:rFonts w:asciiTheme="minorHAnsi" w:hAnsiTheme="minorHAnsi" w:cstheme="minorHAnsi"/>
              </w:rPr>
              <w:t>Fibre</w:t>
            </w:r>
            <w:proofErr w:type="spellEnd"/>
            <w:r w:rsidRPr="00A92D28">
              <w:rPr>
                <w:rFonts w:asciiTheme="minorHAnsi" w:hAnsiTheme="minorHAnsi" w:cstheme="minorHAnsi"/>
              </w:rPr>
              <w:t xml:space="preserve"> Channel 16 </w:t>
            </w:r>
            <w:proofErr w:type="spellStart"/>
            <w:r w:rsidRPr="00A92D28">
              <w:rPr>
                <w:rFonts w:asciiTheme="minorHAnsi" w:hAnsiTheme="minorHAnsi" w:cstheme="minorHAnsi"/>
              </w:rPr>
              <w:t>Gbps</w:t>
            </w:r>
            <w:proofErr w:type="spellEnd"/>
            <w:r w:rsidRPr="00A92D28">
              <w:rPr>
                <w:rFonts w:asciiTheme="minorHAnsi" w:hAnsiTheme="minorHAnsi" w:cstheme="minorHAnsi"/>
              </w:rPr>
              <w:t>,</w:t>
            </w:r>
          </w:p>
          <w:p w14:paraId="48ACC8F7" w14:textId="77777777" w:rsidR="00E306DC" w:rsidRPr="00A92D28" w:rsidRDefault="00E306DC" w:rsidP="00E306DC">
            <w:pPr>
              <w:rPr>
                <w:rFonts w:asciiTheme="minorHAnsi" w:hAnsiTheme="minorHAnsi" w:cstheme="minorHAnsi"/>
              </w:rPr>
            </w:pPr>
          </w:p>
          <w:p w14:paraId="27A68EA3"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 xml:space="preserve">5. 2 x 4-port Ethernet (1/10 </w:t>
            </w:r>
            <w:proofErr w:type="spellStart"/>
            <w:r w:rsidRPr="00A92D28">
              <w:rPr>
                <w:rFonts w:asciiTheme="minorHAnsi" w:hAnsiTheme="minorHAnsi" w:cstheme="minorHAnsi"/>
                <w:b/>
              </w:rPr>
              <w:t>Gb</w:t>
            </w:r>
            <w:proofErr w:type="spellEnd"/>
            <w:r w:rsidRPr="00A92D28">
              <w:rPr>
                <w:rFonts w:asciiTheme="minorHAnsi" w:hAnsiTheme="minorHAnsi" w:cstheme="minorHAnsi"/>
                <w:b/>
              </w:rPr>
              <w:t>)</w:t>
            </w:r>
          </w:p>
          <w:p w14:paraId="3BBAD410"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0966434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 czteroportowe kontrolery Ethernet 1/10 </w:t>
            </w:r>
            <w:proofErr w:type="spellStart"/>
            <w:r w:rsidRPr="00A92D28">
              <w:rPr>
                <w:rFonts w:asciiTheme="minorHAnsi" w:hAnsiTheme="minorHAnsi" w:cstheme="minorHAnsi"/>
              </w:rPr>
              <w:t>Gbps</w:t>
            </w:r>
            <w:proofErr w:type="spellEnd"/>
            <w:r w:rsidRPr="00A92D28">
              <w:rPr>
                <w:rFonts w:asciiTheme="minorHAnsi" w:hAnsiTheme="minorHAnsi" w:cstheme="minorHAnsi"/>
              </w:rPr>
              <w:t xml:space="preserve"> w standardzie SR-IOV, każdy wyposażony w 2 porty 10Gbps SFP+ oraz 2 porty RJ45 1Gbps</w:t>
            </w:r>
          </w:p>
          <w:p w14:paraId="332FCFFD" w14:textId="77777777" w:rsidR="00E306DC" w:rsidRPr="00A92D28" w:rsidRDefault="00E306DC" w:rsidP="00E306DC">
            <w:pPr>
              <w:rPr>
                <w:rFonts w:asciiTheme="minorHAnsi" w:hAnsiTheme="minorHAnsi" w:cstheme="minorHAnsi"/>
              </w:rPr>
            </w:pPr>
          </w:p>
          <w:p w14:paraId="4C4AE48B"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6. Dodatkowe karty lub napędy</w:t>
            </w:r>
          </w:p>
          <w:p w14:paraId="702E74D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1 adapter RAID SAS 4-portowy 6Gbps</w:t>
            </w:r>
          </w:p>
          <w:p w14:paraId="41458631"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4 porty USB 3.0</w:t>
            </w:r>
          </w:p>
          <w:p w14:paraId="2339EC3B"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Możliwość zainstalowania minimum 9 kart </w:t>
            </w:r>
            <w:proofErr w:type="spellStart"/>
            <w:r w:rsidRPr="00A92D28">
              <w:rPr>
                <w:rFonts w:asciiTheme="minorHAnsi" w:hAnsiTheme="minorHAnsi" w:cstheme="minorHAnsi"/>
              </w:rPr>
              <w:t>PCIe</w:t>
            </w:r>
            <w:proofErr w:type="spellEnd"/>
            <w:r w:rsidRPr="00A92D28">
              <w:rPr>
                <w:rFonts w:asciiTheme="minorHAnsi" w:hAnsiTheme="minorHAnsi" w:cstheme="minorHAnsi"/>
              </w:rPr>
              <w:t xml:space="preserve"> hot-plug</w:t>
            </w:r>
          </w:p>
          <w:p w14:paraId="0028528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1 zewnętrz napęd DVD podłączany przez port USB</w:t>
            </w:r>
          </w:p>
          <w:p w14:paraId="25F2B646" w14:textId="77777777" w:rsidR="00E306DC" w:rsidRPr="00A92D28" w:rsidRDefault="00E306DC" w:rsidP="00E306DC">
            <w:pPr>
              <w:rPr>
                <w:rFonts w:asciiTheme="minorHAnsi" w:hAnsiTheme="minorHAnsi" w:cstheme="minorHAnsi"/>
              </w:rPr>
            </w:pPr>
          </w:p>
          <w:p w14:paraId="6B475BDE"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7. Podwójny zasilacz</w:t>
            </w:r>
          </w:p>
          <w:p w14:paraId="2B9C43F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24E83F5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2 zasilacze hot-</w:t>
            </w:r>
            <w:proofErr w:type="spellStart"/>
            <w:r w:rsidRPr="00A92D28">
              <w:rPr>
                <w:rFonts w:asciiTheme="minorHAnsi" w:hAnsiTheme="minorHAnsi" w:cstheme="minorHAnsi"/>
              </w:rPr>
              <w:t>swap</w:t>
            </w:r>
            <w:proofErr w:type="spellEnd"/>
            <w:r w:rsidRPr="00A92D28">
              <w:rPr>
                <w:rFonts w:asciiTheme="minorHAnsi" w:hAnsiTheme="minorHAnsi" w:cstheme="minorHAnsi"/>
              </w:rPr>
              <w:t xml:space="preserve"> i 2 wentylatory hot-</w:t>
            </w:r>
            <w:proofErr w:type="spellStart"/>
            <w:r w:rsidRPr="00A92D28">
              <w:rPr>
                <w:rFonts w:asciiTheme="minorHAnsi" w:hAnsiTheme="minorHAnsi" w:cstheme="minorHAnsi"/>
              </w:rPr>
              <w:t>swap</w:t>
            </w:r>
            <w:proofErr w:type="spellEnd"/>
          </w:p>
          <w:p w14:paraId="7CD38416" w14:textId="77777777" w:rsidR="00E306DC" w:rsidRPr="00A92D28" w:rsidRDefault="00E306DC" w:rsidP="00E306DC">
            <w:pPr>
              <w:rPr>
                <w:rFonts w:asciiTheme="minorHAnsi" w:hAnsiTheme="minorHAnsi" w:cstheme="minorHAnsi"/>
              </w:rPr>
            </w:pPr>
          </w:p>
          <w:p w14:paraId="597F2DC3"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8. Licencja na OS: IBM AIX 7.X (lub równoważny) oraz wirtualizację</w:t>
            </w:r>
          </w:p>
          <w:p w14:paraId="7F0B6FB9"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74C9FCE5"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Wbudowany wewnętrzny system wirtualizacji, umożliwiający tworzenie partycji wirtualnych dla serwerów wirtualnych oraz dynamiczny przydział zasobów takich jak pamięć RAM, ilość rdzeni procesorowych (z dokładnością do 0,1 rdzenia procesorowego),</w:t>
            </w:r>
          </w:p>
          <w:p w14:paraId="03F7E49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Mechanizm wirtualizacji oferujący hard </w:t>
            </w:r>
            <w:proofErr w:type="spellStart"/>
            <w:r w:rsidRPr="00A92D28">
              <w:rPr>
                <w:rFonts w:asciiTheme="minorHAnsi" w:hAnsiTheme="minorHAnsi" w:cstheme="minorHAnsi"/>
              </w:rPr>
              <w:t>partitioning</w:t>
            </w:r>
            <w:proofErr w:type="spellEnd"/>
            <w:r w:rsidRPr="00A92D28">
              <w:rPr>
                <w:rFonts w:asciiTheme="minorHAnsi" w:hAnsiTheme="minorHAnsi" w:cstheme="minorHAnsi"/>
              </w:rPr>
              <w:t xml:space="preserve"> zgodny z polityką licencyjną firmy Oracle w zakresie baz danych, </w:t>
            </w:r>
          </w:p>
          <w:p w14:paraId="58093106"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System operacyjny klasy UNIX współpracujący z mechanizmem wirtualizacji umożliwiający wykonywanie zmian (dodawanie i odejmowanie) zasobów w postaci pamięci RAM oraz rdzeni procesorowych bez konieczności restartu,</w:t>
            </w:r>
          </w:p>
          <w:p w14:paraId="73AA878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Licencje na oprogramowanie wirtualizacji oraz system operacyjny w ilości </w:t>
            </w:r>
            <w:r w:rsidRPr="00A92D28">
              <w:rPr>
                <w:rFonts w:asciiTheme="minorHAnsi" w:hAnsiTheme="minorHAnsi" w:cstheme="minorHAnsi"/>
              </w:rPr>
              <w:lastRenderedPageBreak/>
              <w:t>pokrywającej wszystkie dostępne  aktywne procesory/rdzenie,</w:t>
            </w:r>
          </w:p>
          <w:p w14:paraId="701EF3ED"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System operacyjny powinien umożliwiać pełne działanie oprogramowania wytwarzanego przez Zamawiającego w celach testowych. Oprogramowanie to jest tworzone na system UNIX - IBM AIX.</w:t>
            </w:r>
          </w:p>
          <w:p w14:paraId="6E80C4DB" w14:textId="77777777" w:rsidR="00E306DC" w:rsidRPr="00A92D28" w:rsidRDefault="00E306DC" w:rsidP="00E306DC">
            <w:pPr>
              <w:rPr>
                <w:rFonts w:asciiTheme="minorHAnsi" w:hAnsiTheme="minorHAnsi" w:cstheme="minorHAnsi"/>
              </w:rPr>
            </w:pPr>
          </w:p>
          <w:p w14:paraId="5D0CE5D7" w14:textId="77777777" w:rsidR="00E306DC" w:rsidRPr="00A92D28" w:rsidRDefault="00E306DC" w:rsidP="00E306DC">
            <w:pPr>
              <w:rPr>
                <w:rFonts w:asciiTheme="minorHAnsi" w:hAnsiTheme="minorHAnsi" w:cstheme="minorHAnsi"/>
                <w:b/>
              </w:rPr>
            </w:pPr>
            <w:r>
              <w:rPr>
                <w:rFonts w:asciiTheme="minorHAnsi" w:hAnsiTheme="minorHAnsi" w:cstheme="minorHAnsi"/>
                <w:b/>
              </w:rPr>
              <w:t>9</w:t>
            </w:r>
            <w:r w:rsidRPr="00A92D28">
              <w:rPr>
                <w:rFonts w:asciiTheme="minorHAnsi" w:hAnsiTheme="minorHAnsi" w:cstheme="minorHAnsi"/>
                <w:b/>
              </w:rPr>
              <w:t>. Minimum 3-letnia gwarancja i wsparcie na oprogramowanie</w:t>
            </w:r>
          </w:p>
          <w:p w14:paraId="52DA52AE"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1CA2B46E"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36 miesięcy serwisu gwarancyjnego realizowanego przez producenta,</w:t>
            </w:r>
          </w:p>
          <w:p w14:paraId="560A36F5" w14:textId="28F0A3EC" w:rsidR="00E306DC" w:rsidRPr="002049AD" w:rsidRDefault="00E306DC" w:rsidP="00E306DC">
            <w:pPr>
              <w:spacing w:after="240" w:line="276" w:lineRule="auto"/>
              <w:jc w:val="center"/>
              <w:rPr>
                <w:rFonts w:asciiTheme="minorHAnsi" w:hAnsiTheme="minorHAnsi" w:cstheme="minorHAnsi"/>
                <w:b/>
                <w:noProof/>
                <w:sz w:val="22"/>
                <w:szCs w:val="22"/>
              </w:rPr>
            </w:pPr>
            <w:r w:rsidRPr="00A92D28">
              <w:rPr>
                <w:rFonts w:asciiTheme="minorHAnsi" w:hAnsiTheme="minorHAnsi" w:cstheme="minorHAnsi"/>
              </w:rPr>
              <w:t>Minimum 36 miesięcy serwisu oprogramowania wirtualizacji i oprogramowania systemu operacyjnego realizowanego przez producenta,</w:t>
            </w:r>
          </w:p>
        </w:tc>
        <w:tc>
          <w:tcPr>
            <w:tcW w:w="1559" w:type="dxa"/>
            <w:vAlign w:val="center"/>
          </w:tcPr>
          <w:p w14:paraId="2969B744" w14:textId="2DF61ED9" w:rsidR="00E306DC" w:rsidRPr="002049AD" w:rsidRDefault="00E306DC" w:rsidP="00E306DC">
            <w:pPr>
              <w:spacing w:after="240" w:line="276" w:lineRule="auto"/>
              <w:jc w:val="center"/>
              <w:rPr>
                <w:rFonts w:asciiTheme="minorHAnsi" w:hAnsiTheme="minorHAnsi" w:cstheme="minorHAnsi"/>
                <w:b/>
                <w:noProof/>
                <w:sz w:val="22"/>
                <w:szCs w:val="22"/>
              </w:rPr>
            </w:pPr>
          </w:p>
        </w:tc>
        <w:tc>
          <w:tcPr>
            <w:tcW w:w="2261" w:type="dxa"/>
          </w:tcPr>
          <w:p w14:paraId="292BC6B3"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0F727987"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35ACE1DF"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4461F9D5"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7DBA47B4"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32CD64E9"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p w14:paraId="4221902A"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7.</w:t>
            </w:r>
          </w:p>
          <w:p w14:paraId="6B837962"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8.</w:t>
            </w:r>
          </w:p>
          <w:p w14:paraId="0E61BAAA" w14:textId="4DE39146" w:rsidR="00E306DC" w:rsidRPr="002049AD"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9.</w:t>
            </w:r>
          </w:p>
        </w:tc>
      </w:tr>
      <w:tr w:rsidR="00BF3A2E" w:rsidRPr="002049AD" w14:paraId="2235C331" w14:textId="77777777" w:rsidTr="00623E77">
        <w:tc>
          <w:tcPr>
            <w:tcW w:w="2263" w:type="dxa"/>
          </w:tcPr>
          <w:p w14:paraId="2E47FECA" w14:textId="4FECB10D" w:rsidR="00BF3A2E" w:rsidRPr="00F7593D" w:rsidRDefault="00BF3A2E" w:rsidP="00BF3A2E">
            <w:pPr>
              <w:spacing w:after="240" w:line="276" w:lineRule="auto"/>
              <w:rPr>
                <w:rFonts w:asciiTheme="minorHAnsi" w:hAnsiTheme="minorHAnsi" w:cstheme="minorHAnsi"/>
                <w:sz w:val="22"/>
                <w:szCs w:val="22"/>
              </w:rPr>
            </w:pPr>
            <w:r w:rsidRPr="008F26D5">
              <w:rPr>
                <w:rFonts w:asciiTheme="minorHAnsi" w:hAnsiTheme="minorHAnsi" w:cstheme="minorHAnsi"/>
              </w:rPr>
              <w:lastRenderedPageBreak/>
              <w:t>Macierz dyskowa</w:t>
            </w:r>
          </w:p>
        </w:tc>
        <w:tc>
          <w:tcPr>
            <w:tcW w:w="3686" w:type="dxa"/>
          </w:tcPr>
          <w:p w14:paraId="26C699E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Funkcjonalność i wydajność co najmniej taka jak:</w:t>
            </w:r>
          </w:p>
          <w:p w14:paraId="2C0AA330"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Macierz dyskowa SAN. </w:t>
            </w:r>
          </w:p>
          <w:p w14:paraId="2F2321DF" w14:textId="43479C17" w:rsidR="00BF3A2E" w:rsidRPr="00E306DC" w:rsidRDefault="00475C43" w:rsidP="00BF3A2E">
            <w:pPr>
              <w:pStyle w:val="Akapitzlist"/>
              <w:widowControl/>
              <w:numPr>
                <w:ilvl w:val="0"/>
                <w:numId w:val="45"/>
              </w:numPr>
              <w:autoSpaceDE/>
              <w:autoSpaceDN/>
              <w:adjustRightInd/>
              <w:ind w:left="332"/>
              <w:rPr>
                <w:rFonts w:asciiTheme="minorHAnsi" w:hAnsiTheme="minorHAnsi" w:cstheme="minorHAnsi"/>
                <w:b/>
              </w:rPr>
            </w:pPr>
            <w:r w:rsidRPr="00BF7E94">
              <w:rPr>
                <w:rFonts w:asciiTheme="minorHAnsi" w:hAnsiTheme="minorHAnsi" w:cstheme="minorHAnsi"/>
                <w:b/>
              </w:rPr>
              <w:t>System z pojemnością minimum 1</w:t>
            </w:r>
            <w:r>
              <w:rPr>
                <w:rFonts w:asciiTheme="minorHAnsi" w:hAnsiTheme="minorHAnsi" w:cstheme="minorHAnsi"/>
                <w:b/>
              </w:rPr>
              <w:t>0</w:t>
            </w:r>
            <w:r w:rsidRPr="00BF7E94">
              <w:rPr>
                <w:rFonts w:asciiTheme="minorHAnsi" w:hAnsiTheme="minorHAnsi" w:cstheme="minorHAnsi"/>
                <w:b/>
              </w:rPr>
              <w:t>5T. W oparciu o dyski SSD</w:t>
            </w:r>
            <w:r>
              <w:rPr>
                <w:rFonts w:asciiTheme="minorHAnsi" w:hAnsiTheme="minorHAnsi" w:cstheme="minorHAnsi"/>
                <w:b/>
              </w:rPr>
              <w:t xml:space="preserve"> (lub moduły </w:t>
            </w:r>
            <w:proofErr w:type="spellStart"/>
            <w:r>
              <w:rPr>
                <w:rFonts w:asciiTheme="minorHAnsi" w:hAnsiTheme="minorHAnsi" w:cstheme="minorHAnsi"/>
                <w:b/>
              </w:rPr>
              <w:t>flash</w:t>
            </w:r>
            <w:proofErr w:type="spellEnd"/>
            <w:r>
              <w:rPr>
                <w:rFonts w:asciiTheme="minorHAnsi" w:hAnsiTheme="minorHAnsi" w:cstheme="minorHAnsi"/>
                <w:b/>
              </w:rPr>
              <w:t>)</w:t>
            </w:r>
            <w:r w:rsidR="00BF3A2E" w:rsidRPr="00E306DC">
              <w:rPr>
                <w:rFonts w:asciiTheme="minorHAnsi" w:hAnsiTheme="minorHAnsi" w:cstheme="minorHAnsi"/>
                <w:b/>
              </w:rPr>
              <w:t xml:space="preserve">. </w:t>
            </w:r>
          </w:p>
          <w:p w14:paraId="71D7376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68751BE8"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obsługiwać dyski 2,5” i 3,5” we właściwych obudowach. Macierz musi obsługiwać co najmniej: dyski SAS 10kprm o pojemnościach 900GB, 1.2TB, 1.8TB oraz 2.4TB; dyski NL-SAS 7.2kprm o pojemnościach 2TB, 4TB, 6TB, 8TB, 10TB, 12TB oraz 14TB; dyski SSD o pojemnościach 400GB, 800GB, 1.6TB, 1.92TB, 3.2TB, 3.84TB, 7.68TB, 15.36TB oraz 30.72TB, moduły Flash o pojemnościach 4.8TB, 9.6TB i 19.2TB z kompresją sprzętową</w:t>
            </w:r>
          </w:p>
          <w:p w14:paraId="6FBC7F6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zapewniać możliwość używania różnych dysków tego samego typu – odpowiednio 2,5” i 3,5” – w ramach jednej obudowy</w:t>
            </w:r>
          </w:p>
          <w:p w14:paraId="2D707061"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 Macierz musi obsługiwać moduły Flash i dyski SSD z interfejsami </w:t>
            </w:r>
            <w:proofErr w:type="spellStart"/>
            <w:r w:rsidRPr="00E306DC">
              <w:rPr>
                <w:rFonts w:asciiTheme="minorHAnsi" w:hAnsiTheme="minorHAnsi" w:cstheme="minorHAnsi"/>
              </w:rPr>
              <w:t>NVMe</w:t>
            </w:r>
            <w:proofErr w:type="spellEnd"/>
            <w:r w:rsidRPr="00E306DC">
              <w:rPr>
                <w:rFonts w:asciiTheme="minorHAnsi" w:hAnsiTheme="minorHAnsi" w:cstheme="minorHAnsi"/>
              </w:rPr>
              <w:t xml:space="preserve"> oraz dyski SSD, SAS oraz NL-SAS w standardach SAS 12 i 6 </w:t>
            </w:r>
            <w:proofErr w:type="spellStart"/>
            <w:r w:rsidRPr="00E306DC">
              <w:rPr>
                <w:rFonts w:asciiTheme="minorHAnsi" w:hAnsiTheme="minorHAnsi" w:cstheme="minorHAnsi"/>
              </w:rPr>
              <w:t>Gb</w:t>
            </w:r>
            <w:proofErr w:type="spellEnd"/>
            <w:r w:rsidRPr="00E306DC">
              <w:rPr>
                <w:rFonts w:asciiTheme="minorHAnsi" w:hAnsiTheme="minorHAnsi" w:cstheme="minorHAnsi"/>
              </w:rPr>
              <w:t>/s, dwuportowe, hot-</w:t>
            </w:r>
            <w:proofErr w:type="spellStart"/>
            <w:r w:rsidRPr="00E306DC">
              <w:rPr>
                <w:rFonts w:asciiTheme="minorHAnsi" w:hAnsiTheme="minorHAnsi" w:cstheme="minorHAnsi"/>
              </w:rPr>
              <w:t>swap</w:t>
            </w:r>
            <w:proofErr w:type="spellEnd"/>
            <w:r w:rsidRPr="00E306DC">
              <w:rPr>
                <w:rFonts w:asciiTheme="minorHAnsi" w:hAnsiTheme="minorHAnsi" w:cstheme="minorHAnsi"/>
              </w:rPr>
              <w:t>.</w:t>
            </w:r>
          </w:p>
          <w:p w14:paraId="4D940AAF"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obsługiwać co najmniej 700 dysków, z możliwością rozbudowy do 3000 w systemie złożonym z wielu macierzy (klaster).</w:t>
            </w:r>
          </w:p>
          <w:p w14:paraId="436AC66C"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zostać wyposażona w minimum 24 moduły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NVMe</w:t>
            </w:r>
            <w:proofErr w:type="spellEnd"/>
            <w:r w:rsidRPr="00E306DC">
              <w:rPr>
                <w:rFonts w:asciiTheme="minorHAnsi" w:hAnsiTheme="minorHAnsi" w:cstheme="minorHAnsi"/>
              </w:rPr>
              <w:t xml:space="preserve"> o pojemności co najmniej 4,8TB.</w:t>
            </w:r>
          </w:p>
          <w:p w14:paraId="724AF7D2"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lastRenderedPageBreak/>
              <w:t>- Macierz musi zapewniać poziomy RAID pozwalające na zabezpieczenie przed awarią jednego lub dwóch dysków typu rozproszonego, posiadające jako zabezpieczenie nadmiarową przestrzeń bez konieczności dedykowania dysków zapasowych, a zapewniające wyższą prędkość odbudowy zasobów w przypadku awarii w porównaniu do klasycznych zabezpieczeń RAID z dedykowanymi dyskami zapasowymi.</w:t>
            </w:r>
          </w:p>
          <w:p w14:paraId="41122448"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Macierz musi umożliwiać jednoczesne stosowanie półek dyskowych obsługujących dyski 2,5” oraz 3,5”. Półki dyskowe 2,5” muszą umożliwiać instalację co najmniej 24 napędów dyskowych 2,5”. Półki dyskowe 3,5” muszą umożliwiać instalację co najmniej 12 napędów dyskowych 3,5”. Macierz musi również umożliwiać instalację i obsługę półek wysokiej gęstości o gęstości co najmniej 18 dysków na 1U wysokości.</w:t>
            </w:r>
          </w:p>
          <w:p w14:paraId="7006B4B2"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obsługiwać połączenia do półek dyskowych oraz do dysków w standardzie SAS 12 </w:t>
            </w:r>
            <w:proofErr w:type="spellStart"/>
            <w:r w:rsidRPr="00E306DC">
              <w:rPr>
                <w:rFonts w:asciiTheme="minorHAnsi" w:hAnsiTheme="minorHAnsi" w:cstheme="minorHAnsi"/>
              </w:rPr>
              <w:t>Gb</w:t>
            </w:r>
            <w:proofErr w:type="spellEnd"/>
            <w:r w:rsidRPr="00E306DC">
              <w:rPr>
                <w:rFonts w:asciiTheme="minorHAnsi" w:hAnsiTheme="minorHAnsi" w:cstheme="minorHAnsi"/>
              </w:rPr>
              <w:t>/s.</w:t>
            </w:r>
          </w:p>
          <w:p w14:paraId="4C4F0900" w14:textId="77777777" w:rsidR="00BF3A2E" w:rsidRPr="00E306DC" w:rsidRDefault="00BF3A2E" w:rsidP="00BF3A2E">
            <w:pPr>
              <w:pStyle w:val="Akapitzlist"/>
              <w:rPr>
                <w:rFonts w:asciiTheme="minorHAnsi" w:hAnsiTheme="minorHAnsi" w:cstheme="minorHAnsi"/>
              </w:rPr>
            </w:pPr>
          </w:p>
          <w:p w14:paraId="0F19140D"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rPr>
            </w:pPr>
            <w:r w:rsidRPr="00E306DC">
              <w:rPr>
                <w:rFonts w:asciiTheme="minorHAnsi" w:hAnsiTheme="minorHAnsi" w:cstheme="minorHAnsi"/>
                <w:b/>
              </w:rPr>
              <w:t>Podwójny zasilacz</w:t>
            </w:r>
          </w:p>
          <w:p w14:paraId="5023026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6A1FEE6D"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wspierać zasilanie z dwóch niezależnych źródeł prądu. Awaria jednego ze źródeł zasilania bądź jednego z zasilaczy, nie może powodować obniżenia wydajności macierzy niezależnie od jej konfiguracji.</w:t>
            </w:r>
          </w:p>
          <w:p w14:paraId="660AB099" w14:textId="77777777" w:rsidR="00BF3A2E" w:rsidRPr="00E306DC" w:rsidRDefault="00BF3A2E" w:rsidP="00BF3A2E">
            <w:pPr>
              <w:pStyle w:val="Akapitzlist"/>
              <w:rPr>
                <w:rFonts w:asciiTheme="minorHAnsi" w:hAnsiTheme="minorHAnsi" w:cstheme="minorHAnsi"/>
              </w:rPr>
            </w:pPr>
          </w:p>
          <w:p w14:paraId="4325D817"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rPr>
            </w:pPr>
            <w:r w:rsidRPr="00E306DC">
              <w:rPr>
                <w:rFonts w:asciiTheme="minorHAnsi" w:hAnsiTheme="minorHAnsi" w:cstheme="minorHAnsi"/>
                <w:b/>
              </w:rPr>
              <w:t xml:space="preserve">Podwójny kontroler 4-portowy FC 16Gb. </w:t>
            </w:r>
          </w:p>
          <w:p w14:paraId="1DDFC38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2C5CA500"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 Macierz musi posiadać dwa redundantne kontrolery pracujące w trybie </w:t>
            </w:r>
            <w:proofErr w:type="spellStart"/>
            <w:r w:rsidRPr="00E306DC">
              <w:rPr>
                <w:rFonts w:asciiTheme="minorHAnsi" w:hAnsiTheme="minorHAnsi" w:cstheme="minorHAnsi"/>
              </w:rPr>
              <w:t>active-active</w:t>
            </w:r>
            <w:proofErr w:type="spellEnd"/>
            <w:r w:rsidRPr="00E306DC">
              <w:rPr>
                <w:rFonts w:asciiTheme="minorHAnsi" w:hAnsiTheme="minorHAnsi" w:cstheme="minorHAnsi"/>
              </w:rPr>
              <w:t>, wymienialne bez przerywania pracy.</w:t>
            </w:r>
          </w:p>
          <w:p w14:paraId="7932C91D"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Pamięć podręczna każdego z kontrolerów musi być nie mniejsza niż 128 GB (256 GB na macierz) z możliwością rozbudowy do minimum 576 GB (1152 GB na macierz) w ramach tej samej pary kontrolerów.</w:t>
            </w:r>
          </w:p>
          <w:p w14:paraId="2C5A4EC1"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Wymagane jest nie mniej niż 8 połączeń </w:t>
            </w:r>
            <w:proofErr w:type="spellStart"/>
            <w:r w:rsidRPr="00E306DC">
              <w:rPr>
                <w:rFonts w:asciiTheme="minorHAnsi" w:hAnsiTheme="minorHAnsi" w:cstheme="minorHAnsi"/>
              </w:rPr>
              <w:t>Fibre</w:t>
            </w:r>
            <w:proofErr w:type="spellEnd"/>
            <w:r w:rsidRPr="00E306DC">
              <w:rPr>
                <w:rFonts w:asciiTheme="minorHAnsi" w:hAnsiTheme="minorHAnsi" w:cstheme="minorHAnsi"/>
              </w:rPr>
              <w:t xml:space="preserve"> Channel 16 </w:t>
            </w:r>
            <w:proofErr w:type="spellStart"/>
            <w:r w:rsidRPr="00E306DC">
              <w:rPr>
                <w:rFonts w:asciiTheme="minorHAnsi" w:hAnsiTheme="minorHAnsi" w:cstheme="minorHAnsi"/>
              </w:rPr>
              <w:t>Gb</w:t>
            </w:r>
            <w:proofErr w:type="spellEnd"/>
            <w:r w:rsidRPr="00E306DC">
              <w:rPr>
                <w:rFonts w:asciiTheme="minorHAnsi" w:hAnsiTheme="minorHAnsi" w:cstheme="minorHAnsi"/>
              </w:rPr>
              <w:t xml:space="preserve">/s do macierzy dla hostów oraz co najmniej 8 portów </w:t>
            </w:r>
            <w:proofErr w:type="spellStart"/>
            <w:r w:rsidRPr="00E306DC">
              <w:rPr>
                <w:rFonts w:asciiTheme="minorHAnsi" w:hAnsiTheme="minorHAnsi" w:cstheme="minorHAnsi"/>
              </w:rPr>
              <w:t>iSCSI</w:t>
            </w:r>
            <w:proofErr w:type="spellEnd"/>
            <w:r w:rsidRPr="00E306DC">
              <w:rPr>
                <w:rFonts w:asciiTheme="minorHAnsi" w:hAnsiTheme="minorHAnsi" w:cstheme="minorHAnsi"/>
              </w:rPr>
              <w:t xml:space="preserve"> 10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Macierz musi umożliwiać instalację 8 portów 25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z obsługą </w:t>
            </w:r>
            <w:proofErr w:type="spellStart"/>
            <w:r w:rsidRPr="00E306DC">
              <w:rPr>
                <w:rFonts w:asciiTheme="minorHAnsi" w:hAnsiTheme="minorHAnsi" w:cstheme="minorHAnsi"/>
              </w:rPr>
              <w:t>iSCSI</w:t>
            </w:r>
            <w:proofErr w:type="spellEnd"/>
            <w:r w:rsidRPr="00E306DC">
              <w:rPr>
                <w:rFonts w:asciiTheme="minorHAnsi" w:hAnsiTheme="minorHAnsi" w:cstheme="minorHAnsi"/>
              </w:rPr>
              <w:t xml:space="preserve"> i </w:t>
            </w:r>
            <w:proofErr w:type="spellStart"/>
            <w:r w:rsidRPr="00E306DC">
              <w:rPr>
                <w:rFonts w:asciiTheme="minorHAnsi" w:hAnsiTheme="minorHAnsi" w:cstheme="minorHAnsi"/>
              </w:rPr>
              <w:t>iSER</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RoCE</w:t>
            </w:r>
            <w:proofErr w:type="spellEnd"/>
            <w:r w:rsidRPr="00E306DC">
              <w:rPr>
                <w:rFonts w:asciiTheme="minorHAnsi" w:hAnsiTheme="minorHAnsi" w:cstheme="minorHAnsi"/>
              </w:rPr>
              <w:t xml:space="preserve"> i </w:t>
            </w:r>
            <w:proofErr w:type="spellStart"/>
            <w:r w:rsidRPr="00E306DC">
              <w:rPr>
                <w:rFonts w:asciiTheme="minorHAnsi" w:hAnsiTheme="minorHAnsi" w:cstheme="minorHAnsi"/>
              </w:rPr>
              <w:t>iWARP</w:t>
            </w:r>
            <w:proofErr w:type="spellEnd"/>
            <w:r w:rsidRPr="00E306DC">
              <w:rPr>
                <w:rFonts w:asciiTheme="minorHAnsi" w:hAnsiTheme="minorHAnsi" w:cstheme="minorHAnsi"/>
              </w:rPr>
              <w:t xml:space="preserve">, niezależnie od </w:t>
            </w:r>
            <w:r w:rsidRPr="00E306DC">
              <w:rPr>
                <w:rFonts w:asciiTheme="minorHAnsi" w:hAnsiTheme="minorHAnsi" w:cstheme="minorHAnsi"/>
              </w:rPr>
              <w:lastRenderedPageBreak/>
              <w:t xml:space="preserve">wymienionych wcześniej portów 10 </w:t>
            </w:r>
            <w:proofErr w:type="spellStart"/>
            <w:r w:rsidRPr="00E306DC">
              <w:rPr>
                <w:rFonts w:asciiTheme="minorHAnsi" w:hAnsiTheme="minorHAnsi" w:cstheme="minorHAnsi"/>
              </w:rPr>
              <w:t>GbE</w:t>
            </w:r>
            <w:proofErr w:type="spellEnd"/>
            <w:r w:rsidRPr="00E306DC">
              <w:rPr>
                <w:rFonts w:asciiTheme="minorHAnsi" w:hAnsiTheme="minorHAnsi" w:cstheme="minorHAnsi"/>
              </w:rPr>
              <w:t>). Powyższe wymagania odnośnie portów muszą być realizowane bez konieczności wymiany kontrolerów lub instalacji dodatkowych kontrolerów.</w:t>
            </w:r>
          </w:p>
          <w:p w14:paraId="1F8C0746" w14:textId="77777777" w:rsidR="00BF3A2E" w:rsidRPr="00E306DC" w:rsidRDefault="00BF3A2E" w:rsidP="00BF3A2E">
            <w:pPr>
              <w:pStyle w:val="Akapitzlist"/>
              <w:rPr>
                <w:rFonts w:asciiTheme="minorHAnsi" w:hAnsiTheme="minorHAnsi" w:cstheme="minorHAnsi"/>
              </w:rPr>
            </w:pPr>
          </w:p>
          <w:p w14:paraId="59FFD501"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lang w:val="en-US"/>
              </w:rPr>
            </w:pPr>
            <w:r w:rsidRPr="00E306DC">
              <w:rPr>
                <w:rFonts w:asciiTheme="minorHAnsi" w:hAnsiTheme="minorHAnsi" w:cstheme="minorHAnsi"/>
                <w:b/>
                <w:lang w:val="en-US"/>
              </w:rPr>
              <w:t xml:space="preserve">Minimum 3-letni support door-to-door </w:t>
            </w:r>
          </w:p>
          <w:p w14:paraId="469B79A1"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5595EF67"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Minimum 36 miesięcy serwisu gwarancyjnego </w:t>
            </w:r>
            <w:r w:rsidRPr="00E306DC">
              <w:rPr>
                <w:rFonts w:asciiTheme="minorHAnsi" w:eastAsia="Calibri" w:hAnsiTheme="minorHAnsi" w:cstheme="minorHAnsi"/>
                <w:lang w:eastAsia="en-US"/>
              </w:rPr>
              <w:t>realizowanego przez</w:t>
            </w:r>
            <w:r w:rsidRPr="00E306DC">
              <w:rPr>
                <w:rFonts w:asciiTheme="minorHAnsi" w:hAnsiTheme="minorHAnsi" w:cstheme="minorHAnsi"/>
              </w:rPr>
              <w:t xml:space="preserve"> producenta.</w:t>
            </w:r>
          </w:p>
          <w:p w14:paraId="740E1B0E"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Minimum 36 miesięcy serwisu oprogramowania.</w:t>
            </w:r>
          </w:p>
          <w:p w14:paraId="5C30E3B7" w14:textId="77777777" w:rsidR="00BF3A2E" w:rsidRPr="00E306DC" w:rsidRDefault="00BF3A2E" w:rsidP="00BF3A2E">
            <w:pPr>
              <w:pStyle w:val="Akapitzlist"/>
              <w:rPr>
                <w:rFonts w:asciiTheme="minorHAnsi" w:hAnsiTheme="minorHAnsi" w:cstheme="minorHAnsi"/>
                <w:lang w:val="en-US"/>
              </w:rPr>
            </w:pPr>
          </w:p>
          <w:p w14:paraId="5A9CD898"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lang w:val="en-US"/>
              </w:rPr>
            </w:pPr>
            <w:proofErr w:type="spellStart"/>
            <w:r w:rsidRPr="00E306DC">
              <w:rPr>
                <w:rFonts w:asciiTheme="minorHAnsi" w:hAnsiTheme="minorHAnsi" w:cstheme="minorHAnsi"/>
                <w:b/>
                <w:lang w:val="en-US"/>
              </w:rPr>
              <w:t>Wymagania</w:t>
            </w:r>
            <w:proofErr w:type="spellEnd"/>
            <w:r w:rsidRPr="00E306DC">
              <w:rPr>
                <w:rFonts w:asciiTheme="minorHAnsi" w:hAnsiTheme="minorHAnsi" w:cstheme="minorHAnsi"/>
                <w:b/>
                <w:lang w:val="en-US"/>
              </w:rPr>
              <w:t xml:space="preserve"> </w:t>
            </w:r>
            <w:proofErr w:type="spellStart"/>
            <w:r w:rsidRPr="00E306DC">
              <w:rPr>
                <w:rFonts w:asciiTheme="minorHAnsi" w:hAnsiTheme="minorHAnsi" w:cstheme="minorHAnsi"/>
                <w:b/>
                <w:lang w:val="en-US"/>
              </w:rPr>
              <w:t>dodatkowe</w:t>
            </w:r>
            <w:proofErr w:type="spellEnd"/>
            <w:r w:rsidRPr="00E306DC">
              <w:rPr>
                <w:rFonts w:asciiTheme="minorHAnsi" w:hAnsiTheme="minorHAnsi" w:cstheme="minorHAnsi"/>
                <w:b/>
                <w:lang w:val="en-US"/>
              </w:rPr>
              <w:t>:</w:t>
            </w:r>
          </w:p>
          <w:p w14:paraId="4E2E1563" w14:textId="77777777" w:rsidR="00BF3A2E" w:rsidRPr="00E306DC" w:rsidRDefault="00BF3A2E" w:rsidP="00BF3A2E">
            <w:pPr>
              <w:pStyle w:val="Akapitzlist"/>
              <w:rPr>
                <w:rFonts w:asciiTheme="minorHAnsi" w:hAnsiTheme="minorHAnsi" w:cstheme="minorHAnsi"/>
                <w:lang w:val="en-US"/>
              </w:rPr>
            </w:pPr>
          </w:p>
          <w:p w14:paraId="58F74C7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mieć możliwość zainstalowania w standardowej szafie 19”.</w:t>
            </w:r>
          </w:p>
          <w:p w14:paraId="223D0803"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cechować brak pojedynczego punktu awarii.</w:t>
            </w:r>
          </w:p>
          <w:p w14:paraId="1A6916F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Wysokość macierzy oraz półek dyskowych nie może być większa niż 2U, za wyjątkiem półek tzw. wysokiej gęstości.</w:t>
            </w:r>
          </w:p>
          <w:p w14:paraId="4CA293DD"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posiadać co najmniej 1 port 1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do zarządzania w każdym z kontrolerów.</w:t>
            </w:r>
          </w:p>
          <w:p w14:paraId="140F5D7B" w14:textId="77777777" w:rsidR="00BF3A2E" w:rsidRPr="00E306DC" w:rsidRDefault="00BF3A2E" w:rsidP="00BF3A2E">
            <w:pPr>
              <w:jc w:val="both"/>
              <w:rPr>
                <w:rFonts w:asciiTheme="minorHAnsi" w:hAnsiTheme="minorHAnsi" w:cstheme="minorHAnsi"/>
              </w:rPr>
            </w:pPr>
          </w:p>
          <w:p w14:paraId="2C81E325" w14:textId="77777777" w:rsidR="00BF3A2E" w:rsidRPr="00E306DC" w:rsidRDefault="00BF3A2E" w:rsidP="00BF3A2E">
            <w:pPr>
              <w:pStyle w:val="Akapitzlist"/>
              <w:widowControl/>
              <w:numPr>
                <w:ilvl w:val="0"/>
                <w:numId w:val="45"/>
              </w:numPr>
              <w:autoSpaceDE/>
              <w:autoSpaceDN/>
              <w:adjustRightInd/>
              <w:jc w:val="both"/>
              <w:rPr>
                <w:rFonts w:asciiTheme="minorHAnsi" w:hAnsiTheme="minorHAnsi" w:cstheme="minorHAnsi"/>
                <w:b/>
              </w:rPr>
            </w:pPr>
            <w:r w:rsidRPr="00E306DC">
              <w:rPr>
                <w:rFonts w:asciiTheme="minorHAnsi" w:hAnsiTheme="minorHAnsi" w:cstheme="minorHAnsi"/>
                <w:b/>
              </w:rPr>
              <w:t>Wymagania dotyczące funkcjonalności:</w:t>
            </w:r>
          </w:p>
          <w:p w14:paraId="0DF3C368" w14:textId="77777777" w:rsidR="00BF3A2E" w:rsidRPr="00E306DC" w:rsidRDefault="00BF3A2E" w:rsidP="00BF3A2E">
            <w:pPr>
              <w:jc w:val="both"/>
              <w:rPr>
                <w:rFonts w:asciiTheme="minorHAnsi" w:hAnsiTheme="minorHAnsi" w:cstheme="minorHAnsi"/>
              </w:rPr>
            </w:pPr>
          </w:p>
          <w:p w14:paraId="5B9C32C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mieć możliwość wirtualizacji zasobów znajdujących się na innych macierzach dyskowych, w szczególności pochodzących od HP, IBM, Oracle, Fujitsu, EMC i HDS. Jeżeli funkcjonalność wymaga licencji, należy taką licencję dostarczyć dla oferowanej konfiguracji macierzy.</w:t>
            </w:r>
          </w:p>
          <w:p w14:paraId="125455B5" w14:textId="77777777" w:rsidR="00BF3A2E" w:rsidRPr="00E306DC" w:rsidRDefault="00BF3A2E" w:rsidP="00BF3A2E">
            <w:pPr>
              <w:ind w:left="1065"/>
              <w:jc w:val="both"/>
              <w:rPr>
                <w:rFonts w:asciiTheme="minorHAnsi" w:hAnsiTheme="minorHAnsi" w:cstheme="minorHAnsi"/>
              </w:rPr>
            </w:pPr>
          </w:p>
          <w:p w14:paraId="4868C5B0"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zarządzania całością dostępnych zasobów dyskowych, zarówno wewnętrznych jak i zewnętrznych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z jednej konsoli administracyjnej. Zarządzanie musi być dostępne poprzez interfejs GUI (WWW) oraz interfejs linii poleceń (</w:t>
            </w:r>
            <w:proofErr w:type="spellStart"/>
            <w:r w:rsidRPr="00E306DC">
              <w:rPr>
                <w:rFonts w:asciiTheme="minorHAnsi" w:hAnsiTheme="minorHAnsi" w:cstheme="minorHAnsi"/>
              </w:rPr>
              <w:t>Command</w:t>
            </w:r>
            <w:proofErr w:type="spellEnd"/>
            <w:r w:rsidRPr="00E306DC">
              <w:rPr>
                <w:rFonts w:asciiTheme="minorHAnsi" w:hAnsiTheme="minorHAnsi" w:cstheme="minorHAnsi"/>
              </w:rPr>
              <w:t xml:space="preserve"> Line Interface). Dostęp do linii poleceń poprzez połączenie szyfrowane.</w:t>
            </w:r>
          </w:p>
          <w:p w14:paraId="7674CEF8" w14:textId="77777777" w:rsidR="00BF3A2E" w:rsidRPr="00E306DC" w:rsidRDefault="00BF3A2E" w:rsidP="00BF3A2E">
            <w:pPr>
              <w:jc w:val="both"/>
              <w:rPr>
                <w:rFonts w:asciiTheme="minorHAnsi" w:hAnsiTheme="minorHAnsi" w:cstheme="minorHAnsi"/>
              </w:rPr>
            </w:pPr>
          </w:p>
          <w:p w14:paraId="7A34FEB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Musi istnieć możliwość bezpośredniego monitoringu stanu w jakim w danym momencie macierz się </w:t>
            </w:r>
            <w:r w:rsidRPr="00E306DC">
              <w:rPr>
                <w:rFonts w:asciiTheme="minorHAnsi" w:hAnsiTheme="minorHAnsi" w:cstheme="minorHAnsi"/>
              </w:rPr>
              <w:lastRenderedPageBreak/>
              <w:t>znajduje. Dane o parametrach wydajnościowych macierzy muszą być dostępne w postaci wykresów w interfejsie GUI.</w:t>
            </w:r>
          </w:p>
          <w:p w14:paraId="5E1CD825" w14:textId="77777777" w:rsidR="00BF3A2E" w:rsidRPr="00E306DC" w:rsidRDefault="00BF3A2E" w:rsidP="00BF3A2E">
            <w:pPr>
              <w:jc w:val="both"/>
              <w:rPr>
                <w:rFonts w:asciiTheme="minorHAnsi" w:hAnsiTheme="minorHAnsi" w:cstheme="minorHAnsi"/>
              </w:rPr>
            </w:pPr>
          </w:p>
          <w:p w14:paraId="139CF4A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Musi istnieć funkcjonalność Cache dla procesu odczytu.</w:t>
            </w:r>
          </w:p>
          <w:p w14:paraId="0762BC7B" w14:textId="77777777" w:rsidR="00BF3A2E" w:rsidRPr="00E306DC" w:rsidRDefault="00BF3A2E" w:rsidP="00BF3A2E">
            <w:pPr>
              <w:jc w:val="both"/>
              <w:rPr>
                <w:rFonts w:asciiTheme="minorHAnsi" w:hAnsiTheme="minorHAnsi" w:cstheme="minorHAnsi"/>
              </w:rPr>
            </w:pPr>
          </w:p>
          <w:p w14:paraId="71E5804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Musi istnieć funkcjonalność </w:t>
            </w:r>
            <w:proofErr w:type="spellStart"/>
            <w:r w:rsidRPr="00E306DC">
              <w:rPr>
                <w:rFonts w:asciiTheme="minorHAnsi" w:hAnsiTheme="minorHAnsi" w:cstheme="minorHAnsi"/>
              </w:rPr>
              <w:t>Mirrored</w:t>
            </w:r>
            <w:proofErr w:type="spellEnd"/>
            <w:r w:rsidRPr="00E306DC">
              <w:rPr>
                <w:rFonts w:asciiTheme="minorHAnsi" w:hAnsiTheme="minorHAnsi" w:cstheme="minorHAnsi"/>
              </w:rPr>
              <w:t xml:space="preserve"> Cache dla procesu zapisu.</w:t>
            </w:r>
          </w:p>
          <w:p w14:paraId="0C778D46" w14:textId="77777777" w:rsidR="00BF3A2E" w:rsidRPr="00E306DC" w:rsidRDefault="00BF3A2E" w:rsidP="00BF3A2E">
            <w:pPr>
              <w:jc w:val="both"/>
              <w:rPr>
                <w:rFonts w:asciiTheme="minorHAnsi" w:hAnsiTheme="minorHAnsi" w:cstheme="minorHAnsi"/>
              </w:rPr>
            </w:pPr>
          </w:p>
          <w:p w14:paraId="6173699B"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Musi istnieć możliwość wyłączenia cache dla poszczególnych wolumenów.</w:t>
            </w:r>
          </w:p>
          <w:p w14:paraId="23A73B79" w14:textId="77777777" w:rsidR="00BF3A2E" w:rsidRPr="00E306DC" w:rsidRDefault="00BF3A2E" w:rsidP="00BF3A2E">
            <w:pPr>
              <w:jc w:val="both"/>
              <w:rPr>
                <w:rFonts w:asciiTheme="minorHAnsi" w:hAnsiTheme="minorHAnsi" w:cstheme="minorHAnsi"/>
              </w:rPr>
            </w:pPr>
          </w:p>
          <w:p w14:paraId="61A15477"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system podtrzymania zawartości pamięci cache na wypadek awarii zasilania realizowany poprzez zapis danych z pamięci cache kontrolerów do pamięci typu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lub równoważny zapewniający co najmniej taki sam czas przechowywania danych.</w:t>
            </w:r>
          </w:p>
          <w:p w14:paraId="05324C53" w14:textId="77777777" w:rsidR="00BF3A2E" w:rsidRPr="00E306DC" w:rsidRDefault="00BF3A2E" w:rsidP="00BF3A2E">
            <w:pPr>
              <w:jc w:val="both"/>
              <w:rPr>
                <w:rFonts w:asciiTheme="minorHAnsi" w:hAnsiTheme="minorHAnsi" w:cstheme="minorHAnsi"/>
              </w:rPr>
            </w:pPr>
          </w:p>
          <w:p w14:paraId="75A6BFA0"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optymalizować wykorzystanie dysków SSD poprzez automatyczną identyfikację najbardziej obciążonych fragmentów wolumenów w zarządzanych zasobach dyskowych (wewnętrznych jak i zewnętrznych,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oraz ich automatyczną migrację na dyski SSD i moduły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NVMe</w:t>
            </w:r>
            <w:proofErr w:type="spellEnd"/>
            <w:r w:rsidRPr="00E306DC">
              <w:rPr>
                <w:rFonts w:asciiTheme="minorHAnsi" w:hAnsiTheme="minorHAnsi" w:cstheme="minorHAnsi"/>
              </w:rPr>
              <w:t>. Macierz musi również automatycznie rozpoznawać obciążenie fragmentów wolumenów na dyskach SSD i automatycznie migrować z dysków SSD nieobciążone fragmenty wolumenów. Macierz musi posiadać możliwość wykorzystania mechanizmu optymalizacji umiejscowienia danych pomiędzy przynajmniej 3 rodzajami dysków – Flash/SSD, SAS oraz NL-SAS/SATA, jak również przy wykorzystaniu dwóch dowolnych z wyżej wymienionych typów. Opisany powyżej proces optymalizacji musi posiadać funkcję włączenia/wyłączenia na poziomie pojedynczego wolumenu. Jeżeli funkcjonalność wymaga licencji, należy taką licencję dostarczyć dla oferowanej konfiguracji macierzy.</w:t>
            </w:r>
          </w:p>
          <w:p w14:paraId="1912552A" w14:textId="77777777" w:rsidR="00BF3A2E" w:rsidRPr="00E306DC" w:rsidRDefault="00BF3A2E" w:rsidP="00BF3A2E">
            <w:pPr>
              <w:jc w:val="both"/>
              <w:rPr>
                <w:rFonts w:asciiTheme="minorHAnsi" w:hAnsiTheme="minorHAnsi" w:cstheme="minorHAnsi"/>
              </w:rPr>
            </w:pPr>
          </w:p>
          <w:p w14:paraId="6F59DF6E"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umożliwiać </w:t>
            </w:r>
            <w:r w:rsidRPr="00E306DC">
              <w:rPr>
                <w:rFonts w:asciiTheme="minorHAnsi" w:hAnsiTheme="minorHAnsi" w:cstheme="minorHAnsi"/>
              </w:rPr>
              <w:lastRenderedPageBreak/>
              <w:t>automatyczne równoważenie obciążenia w ramach grupy/puli dysków tego samego typu. Jeżeli funkcjonalność wymaga licencji, należy taką licencję dostarczyć dla oferowanej konfiguracji macierzy.</w:t>
            </w:r>
          </w:p>
          <w:p w14:paraId="65DD817C" w14:textId="77777777" w:rsidR="00BF3A2E" w:rsidRPr="00E306DC" w:rsidRDefault="00BF3A2E" w:rsidP="00BF3A2E">
            <w:pPr>
              <w:ind w:left="1065"/>
              <w:jc w:val="both"/>
              <w:rPr>
                <w:rFonts w:asciiTheme="minorHAnsi" w:hAnsiTheme="minorHAnsi" w:cstheme="minorHAnsi"/>
              </w:rPr>
            </w:pPr>
          </w:p>
          <w:p w14:paraId="7DBD5C11"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Minimalna ilość wspieranych wirtualnych dysków logicznych (LUN) dla całej (globalnej) puli dyskowej zbudowanej w oparciu o jedną macierz musi wynosić co najmniej 4000.</w:t>
            </w:r>
          </w:p>
          <w:p w14:paraId="6481F933" w14:textId="77777777" w:rsidR="00BF3A2E" w:rsidRPr="00E306DC" w:rsidRDefault="00BF3A2E" w:rsidP="00BF3A2E">
            <w:pPr>
              <w:ind w:left="1065"/>
              <w:jc w:val="both"/>
              <w:rPr>
                <w:rFonts w:asciiTheme="minorHAnsi" w:hAnsiTheme="minorHAnsi" w:cstheme="minorHAnsi"/>
              </w:rPr>
            </w:pPr>
          </w:p>
          <w:p w14:paraId="694211A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obsługiwać funkcjonalności LUN </w:t>
            </w:r>
            <w:proofErr w:type="spellStart"/>
            <w:r w:rsidRPr="00E306DC">
              <w:rPr>
                <w:rFonts w:asciiTheme="minorHAnsi" w:hAnsiTheme="minorHAnsi" w:cstheme="minorHAnsi"/>
              </w:rPr>
              <w:t>Masking</w:t>
            </w:r>
            <w:proofErr w:type="spellEnd"/>
            <w:r w:rsidRPr="00E306DC">
              <w:rPr>
                <w:rFonts w:asciiTheme="minorHAnsi" w:hAnsiTheme="minorHAnsi" w:cstheme="minorHAnsi"/>
              </w:rPr>
              <w:t xml:space="preserve"> i LUN </w:t>
            </w:r>
            <w:proofErr w:type="spellStart"/>
            <w:r w:rsidRPr="00E306DC">
              <w:rPr>
                <w:rFonts w:asciiTheme="minorHAnsi" w:hAnsiTheme="minorHAnsi" w:cstheme="minorHAnsi"/>
              </w:rPr>
              <w:t>Mapping</w:t>
            </w:r>
            <w:proofErr w:type="spellEnd"/>
            <w:r w:rsidRPr="00E306DC">
              <w:rPr>
                <w:rFonts w:asciiTheme="minorHAnsi" w:hAnsiTheme="minorHAnsi" w:cstheme="minorHAnsi"/>
              </w:rPr>
              <w:t>.</w:t>
            </w:r>
          </w:p>
          <w:p w14:paraId="26AB7A93" w14:textId="77777777" w:rsidR="00BF3A2E" w:rsidRPr="00E306DC" w:rsidRDefault="00BF3A2E" w:rsidP="00BF3A2E">
            <w:pPr>
              <w:jc w:val="both"/>
              <w:rPr>
                <w:rFonts w:asciiTheme="minorHAnsi" w:hAnsiTheme="minorHAnsi" w:cstheme="minorHAnsi"/>
              </w:rPr>
            </w:pPr>
          </w:p>
          <w:p w14:paraId="1B8A2382" w14:textId="77777777" w:rsidR="00BF3A2E" w:rsidRPr="00E306DC" w:rsidRDefault="00BF3A2E" w:rsidP="00BF3A2E">
            <w:pPr>
              <w:pStyle w:val="Akapitzlist"/>
              <w:widowControl/>
              <w:numPr>
                <w:ilvl w:val="0"/>
                <w:numId w:val="44"/>
              </w:numPr>
              <w:autoSpaceDE/>
              <w:autoSpaceDN/>
              <w:adjustRightInd/>
              <w:contextualSpacing w:val="0"/>
              <w:jc w:val="both"/>
              <w:rPr>
                <w:rFonts w:asciiTheme="minorHAnsi" w:hAnsiTheme="minorHAnsi" w:cstheme="minorHAnsi"/>
              </w:rPr>
            </w:pPr>
            <w:r w:rsidRPr="00E306DC">
              <w:rPr>
                <w:rFonts w:asciiTheme="minorHAnsi" w:hAnsiTheme="minorHAnsi" w:cstheme="minorHAnsi"/>
              </w:rPr>
              <w:t>Macierz musi zapewniać funkcjonalność udostępniania przestrzeni bez konieczności fizycznego alokowania wolnego miejsca na dyskach (</w:t>
            </w:r>
            <w:proofErr w:type="spellStart"/>
            <w:r w:rsidRPr="00E306DC">
              <w:rPr>
                <w:rFonts w:asciiTheme="minorHAnsi" w:hAnsiTheme="minorHAnsi" w:cstheme="minorHAnsi"/>
              </w:rPr>
              <w:t>thin</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provisioning</w:t>
            </w:r>
            <w:proofErr w:type="spellEnd"/>
            <w:r w:rsidRPr="00E306DC">
              <w:rPr>
                <w:rFonts w:asciiTheme="minorHAnsi" w:hAnsiTheme="minorHAnsi" w:cstheme="minorHAnsi"/>
              </w:rPr>
              <w:t>). Jeżeli funkcjonalność wymaga licencji, należy taką licencję dostarczyć dla oferowanej konfiguracji macierzy.</w:t>
            </w:r>
          </w:p>
          <w:p w14:paraId="1D80FE5B" w14:textId="77777777" w:rsidR="00BF3A2E" w:rsidRPr="00E306DC" w:rsidRDefault="00BF3A2E" w:rsidP="00BF3A2E">
            <w:pPr>
              <w:pStyle w:val="Akapitzlist"/>
              <w:ind w:left="0"/>
              <w:contextualSpacing w:val="0"/>
              <w:jc w:val="both"/>
              <w:rPr>
                <w:rFonts w:asciiTheme="minorHAnsi" w:hAnsiTheme="minorHAnsi" w:cstheme="minorHAnsi"/>
              </w:rPr>
            </w:pPr>
          </w:p>
          <w:p w14:paraId="78AAB18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mieć możliwość wykonania kopii danych typu Point-In-Time (</w:t>
            </w:r>
            <w:proofErr w:type="spellStart"/>
            <w:r w:rsidRPr="00E306DC">
              <w:rPr>
                <w:rFonts w:asciiTheme="minorHAnsi" w:hAnsiTheme="minorHAnsi" w:cstheme="minorHAnsi"/>
              </w:rPr>
              <w:t>PiT</w:t>
            </w:r>
            <w:proofErr w:type="spellEnd"/>
            <w:r w:rsidRPr="00E306DC">
              <w:rPr>
                <w:rFonts w:asciiTheme="minorHAnsi" w:hAnsiTheme="minorHAnsi" w:cstheme="minorHAnsi"/>
              </w:rPr>
              <w:t xml:space="preserve">) wolumenów.  Zasoby źródłowe oraz docelowe kopii </w:t>
            </w:r>
            <w:proofErr w:type="spellStart"/>
            <w:r w:rsidRPr="00E306DC">
              <w:rPr>
                <w:rFonts w:asciiTheme="minorHAnsi" w:hAnsiTheme="minorHAnsi" w:cstheme="minorHAnsi"/>
              </w:rPr>
              <w:t>PiT</w:t>
            </w:r>
            <w:proofErr w:type="spellEnd"/>
            <w:r w:rsidRPr="00E306DC">
              <w:rPr>
                <w:rFonts w:asciiTheme="minorHAnsi" w:hAnsiTheme="minorHAnsi" w:cstheme="minorHAnsi"/>
              </w:rPr>
              <w:t xml:space="preserve"> mogą być zabezpieczone różnymi poziomami RAID i egzystować na różnych technologicznie dyskach stałych (FC, SAS, SSD, SATA), jak również na odrębnych,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poprzez przedmiotową macierz podsystemach dyskowych. Jeżeli funkcjonalność wymaga licencji, należy taką licencję dostarczyć dla oferowanej konfiguracji macierzy.</w:t>
            </w:r>
          </w:p>
          <w:p w14:paraId="4768E13B" w14:textId="77777777" w:rsidR="00BF3A2E" w:rsidRPr="00E306DC" w:rsidRDefault="00BF3A2E" w:rsidP="00BF3A2E">
            <w:pPr>
              <w:jc w:val="both"/>
              <w:rPr>
                <w:rFonts w:asciiTheme="minorHAnsi" w:hAnsiTheme="minorHAnsi" w:cstheme="minorHAnsi"/>
              </w:rPr>
            </w:pPr>
          </w:p>
          <w:p w14:paraId="1D956AF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Kopie danych typu PIT muszą być tworzone w trybach kopii pełnej (klon) oraz kopii wskaźników (migawka), </w:t>
            </w:r>
            <w:proofErr w:type="spellStart"/>
            <w:r w:rsidRPr="00E306DC">
              <w:rPr>
                <w:rFonts w:asciiTheme="minorHAnsi" w:hAnsiTheme="minorHAnsi" w:cstheme="minorHAnsi"/>
              </w:rPr>
              <w:t>incremental</w:t>
            </w:r>
            <w:proofErr w:type="spellEnd"/>
            <w:r w:rsidRPr="00E306DC">
              <w:rPr>
                <w:rFonts w:asciiTheme="minorHAnsi" w:hAnsiTheme="minorHAnsi" w:cstheme="minorHAnsi"/>
              </w:rPr>
              <w:t xml:space="preserve"> (kopiowanie tylko bloków zmienionych pomiędzy kolejnymi </w:t>
            </w:r>
            <w:proofErr w:type="spellStart"/>
            <w:r w:rsidRPr="00E306DC">
              <w:rPr>
                <w:rFonts w:asciiTheme="minorHAnsi" w:hAnsiTheme="minorHAnsi" w:cstheme="minorHAnsi"/>
              </w:rPr>
              <w:t>wykonaniami</w:t>
            </w:r>
            <w:proofErr w:type="spellEnd"/>
            <w:r w:rsidRPr="00E306DC">
              <w:rPr>
                <w:rFonts w:asciiTheme="minorHAnsi" w:hAnsiTheme="minorHAnsi" w:cstheme="minorHAnsi"/>
              </w:rPr>
              <w:t xml:space="preserve"> kopii), </w:t>
            </w:r>
            <w:proofErr w:type="spellStart"/>
            <w:r w:rsidRPr="00E306DC">
              <w:rPr>
                <w:rFonts w:asciiTheme="minorHAnsi" w:hAnsiTheme="minorHAnsi" w:cstheme="minorHAnsi"/>
              </w:rPr>
              <w:t>multitarget</w:t>
            </w:r>
            <w:proofErr w:type="spellEnd"/>
            <w:r w:rsidRPr="00E306DC">
              <w:rPr>
                <w:rFonts w:asciiTheme="minorHAnsi" w:hAnsiTheme="minorHAnsi" w:cstheme="minorHAnsi"/>
              </w:rPr>
              <w:t xml:space="preserve"> (wiele kopii z jednego źródła), </w:t>
            </w:r>
            <w:proofErr w:type="spellStart"/>
            <w:r w:rsidRPr="00E306DC">
              <w:rPr>
                <w:rFonts w:asciiTheme="minorHAnsi" w:hAnsiTheme="minorHAnsi" w:cstheme="minorHAnsi"/>
              </w:rPr>
              <w:t>cascaded</w:t>
            </w:r>
            <w:proofErr w:type="spellEnd"/>
            <w:r w:rsidRPr="00E306DC">
              <w:rPr>
                <w:rFonts w:asciiTheme="minorHAnsi" w:hAnsiTheme="minorHAnsi" w:cstheme="minorHAnsi"/>
              </w:rPr>
              <w:t xml:space="preserve"> (kopia z kopii).</w:t>
            </w:r>
          </w:p>
          <w:p w14:paraId="0835CACC" w14:textId="77777777" w:rsidR="00BF3A2E" w:rsidRPr="00E306DC" w:rsidRDefault="00BF3A2E" w:rsidP="00BF3A2E">
            <w:pPr>
              <w:jc w:val="both"/>
              <w:rPr>
                <w:rFonts w:asciiTheme="minorHAnsi" w:hAnsiTheme="minorHAnsi" w:cstheme="minorHAnsi"/>
              </w:rPr>
            </w:pPr>
          </w:p>
          <w:p w14:paraId="12B19CA6"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obsługiwać min 255 kopi migawkowych per wolumen, 4096 łącznie w całym systemie.</w:t>
            </w:r>
          </w:p>
          <w:p w14:paraId="42D34A0C" w14:textId="77777777" w:rsidR="00BF3A2E" w:rsidRPr="00E306DC" w:rsidRDefault="00BF3A2E" w:rsidP="00BF3A2E">
            <w:pPr>
              <w:pStyle w:val="Akapitzlist"/>
              <w:rPr>
                <w:rFonts w:asciiTheme="minorHAnsi" w:hAnsiTheme="minorHAnsi" w:cstheme="minorHAnsi"/>
              </w:rPr>
            </w:pPr>
          </w:p>
          <w:p w14:paraId="3ECC7B9C"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obsługiwać grupy spójności wolumenów do celów kopiowania i replikacji.</w:t>
            </w:r>
          </w:p>
          <w:p w14:paraId="45AEF3ED" w14:textId="77777777" w:rsidR="00BF3A2E" w:rsidRPr="00E306DC" w:rsidRDefault="00BF3A2E" w:rsidP="00BF3A2E">
            <w:pPr>
              <w:jc w:val="both"/>
              <w:rPr>
                <w:rFonts w:asciiTheme="minorHAnsi" w:hAnsiTheme="minorHAnsi" w:cstheme="minorHAnsi"/>
              </w:rPr>
            </w:pPr>
          </w:p>
          <w:p w14:paraId="63D0A64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tworzenia mirrorowanych wolumenów pomiędzy różnymi zarządzanymi zasobami dyskowymi w szczególności </w:t>
            </w:r>
            <w:proofErr w:type="spellStart"/>
            <w:r w:rsidRPr="00E306DC">
              <w:rPr>
                <w:rFonts w:asciiTheme="minorHAnsi" w:hAnsiTheme="minorHAnsi" w:cstheme="minorHAnsi"/>
              </w:rPr>
              <w:t>wirtualizowanymi</w:t>
            </w:r>
            <w:proofErr w:type="spellEnd"/>
            <w:r w:rsidRPr="00E306DC">
              <w:rPr>
                <w:rFonts w:asciiTheme="minorHAnsi" w:hAnsiTheme="minorHAnsi" w:cstheme="minorHAnsi"/>
              </w:rPr>
              <w:t xml:space="preserve"> macierzami, dla których awaria jednej kopii lustra musi być niezauważalna dla systemu hosta.</w:t>
            </w:r>
          </w:p>
          <w:p w14:paraId="56881A88" w14:textId="77777777" w:rsidR="00BF3A2E" w:rsidRPr="00E306DC" w:rsidRDefault="00BF3A2E" w:rsidP="00BF3A2E">
            <w:pPr>
              <w:jc w:val="both"/>
              <w:rPr>
                <w:rFonts w:asciiTheme="minorHAnsi" w:hAnsiTheme="minorHAnsi" w:cstheme="minorHAnsi"/>
              </w:rPr>
            </w:pPr>
          </w:p>
          <w:p w14:paraId="3E6EAF5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wykonywania kopii wolumenu do chmury poprzez łącze IP. Musi istnieć możliwość odzyskania danych z kopii wolumenu wykonanej w chmurze na tą samą macierz lub inną tego samego typu.</w:t>
            </w:r>
          </w:p>
          <w:p w14:paraId="374997F0" w14:textId="77777777" w:rsidR="00BF3A2E" w:rsidRPr="00E306DC" w:rsidRDefault="00BF3A2E" w:rsidP="00BF3A2E">
            <w:pPr>
              <w:jc w:val="both"/>
              <w:rPr>
                <w:rFonts w:asciiTheme="minorHAnsi" w:hAnsiTheme="minorHAnsi" w:cstheme="minorHAnsi"/>
              </w:rPr>
            </w:pPr>
          </w:p>
          <w:p w14:paraId="1D56AB4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mieć możliwość wykonywania replikacji synchronicznej i asynchronicznej wolumenów logicznych pomiędzy różnymi typami macierzy dyskowych. Zasoby źródłowe kopii zdalnej oraz docelowe kopii zdalnej mogą być zabezpieczone różnymi poziomami RAID i egzystować na różnych technologicznie dyskach stałych (FC, SAS, SSD, SATA) w szczególności na różnych,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przez macierz systemach dyskowych. Replikacja musi być realizowana zarówno przy użyciu interfejsów </w:t>
            </w:r>
            <w:proofErr w:type="spellStart"/>
            <w:r w:rsidRPr="00E306DC">
              <w:rPr>
                <w:rFonts w:asciiTheme="minorHAnsi" w:hAnsiTheme="minorHAnsi" w:cstheme="minorHAnsi"/>
              </w:rPr>
              <w:t>Fibre</w:t>
            </w:r>
            <w:proofErr w:type="spellEnd"/>
            <w:r w:rsidRPr="00E306DC">
              <w:rPr>
                <w:rFonts w:asciiTheme="minorHAnsi" w:hAnsiTheme="minorHAnsi" w:cstheme="minorHAnsi"/>
              </w:rPr>
              <w:t xml:space="preserve"> Channel jak i protokołu IP. Przy replikacji z wykorzystaniem protokołu IP kontrolery macierzy musza zapewniać mechanizm optymalizacji transmisji danych po IP. Macierz musi umożliwiać replikację również z innymi modelami macierzy w ramach tej samej rodziny macierzy. Jeżeli funkcjonalność wymaga licencji, należy taką licencję dostarczyć dla oferowanej konfiguracji macierzy.</w:t>
            </w:r>
          </w:p>
          <w:p w14:paraId="20F59B83" w14:textId="77777777" w:rsidR="00BF3A2E" w:rsidRPr="00E306DC" w:rsidRDefault="00BF3A2E" w:rsidP="00BF3A2E">
            <w:pPr>
              <w:jc w:val="both"/>
              <w:rPr>
                <w:rFonts w:asciiTheme="minorHAnsi" w:hAnsiTheme="minorHAnsi" w:cstheme="minorHAnsi"/>
              </w:rPr>
            </w:pPr>
          </w:p>
          <w:p w14:paraId="095BA67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mieć możliwość wykonania migracji wolumenów logicznych pomiędzy różnymi typami macierzy dyskowych oraz wewnątrz macierzy, bez zatrzymywania aplikacji korzystającej z tych wolumenów. Wymaga się, aby zasoby źródłowe </w:t>
            </w:r>
            <w:r w:rsidRPr="00E306DC">
              <w:rPr>
                <w:rFonts w:asciiTheme="minorHAnsi" w:hAnsiTheme="minorHAnsi" w:cstheme="minorHAnsi"/>
              </w:rPr>
              <w:lastRenderedPageBreak/>
              <w:t xml:space="preserve">podlegające migracji oraz zasoby, do których są migrowane mogły być zabezpieczone różnymi poziomami RAID i egzystować na różnych technologicznie dyskach stałych (FC, SAS, SSD, SATA) w szczególności na różnych,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przez macierz systemach dyskowych.</w:t>
            </w:r>
          </w:p>
          <w:p w14:paraId="1C0DEDB6" w14:textId="77777777" w:rsidR="00BF3A2E" w:rsidRPr="00E306DC" w:rsidRDefault="00BF3A2E" w:rsidP="00BF3A2E">
            <w:pPr>
              <w:jc w:val="both"/>
              <w:rPr>
                <w:rFonts w:asciiTheme="minorHAnsi" w:hAnsiTheme="minorHAnsi" w:cstheme="minorHAnsi"/>
              </w:rPr>
            </w:pPr>
          </w:p>
          <w:p w14:paraId="5D6527B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zarówno zwiększania jak i zmniejszania rozmiaru wolumenów.</w:t>
            </w:r>
          </w:p>
          <w:p w14:paraId="0CB1BE6D" w14:textId="77777777" w:rsidR="00BF3A2E" w:rsidRPr="00E306DC" w:rsidRDefault="00BF3A2E" w:rsidP="00BF3A2E">
            <w:pPr>
              <w:jc w:val="both"/>
              <w:rPr>
                <w:rFonts w:asciiTheme="minorHAnsi" w:hAnsiTheme="minorHAnsi" w:cstheme="minorHAnsi"/>
              </w:rPr>
            </w:pPr>
          </w:p>
          <w:p w14:paraId="19E3036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zarządzania ilością operacji wejścia-wyjścia wykonywanych na danym zasobie macierzy. Zarządzanie musi być możliwe poprzez określenie maksymalnej ilości operacji I/O na sekundę lub przepustowości określonej w MB/s dla danego zasobu lub poprzez oba te parametry jednocześnie. Wymagana jest możliwość określania ww. parametrów dla zasobów macierzy takich jak wolumen, grupa wolumenów, host, klaster hostów. Jeżeli funkcjonalność wymaga licencji, należy taką licencję dostarczyć dla oferowanej konfiguracji macierzy.</w:t>
            </w:r>
          </w:p>
          <w:p w14:paraId="3505B1C0" w14:textId="77777777" w:rsidR="00BF3A2E" w:rsidRPr="00E306DC" w:rsidRDefault="00BF3A2E" w:rsidP="00BF3A2E">
            <w:pPr>
              <w:jc w:val="both"/>
              <w:rPr>
                <w:rFonts w:asciiTheme="minorHAnsi" w:hAnsiTheme="minorHAnsi" w:cstheme="minorHAnsi"/>
              </w:rPr>
            </w:pPr>
          </w:p>
          <w:p w14:paraId="3680E2D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umożliwiać tworzenie grup hostów oraz wirtualizację portów hostów (NPIV).</w:t>
            </w:r>
          </w:p>
          <w:p w14:paraId="098B7F58" w14:textId="77777777" w:rsidR="00BF3A2E" w:rsidRPr="00E306DC" w:rsidRDefault="00BF3A2E" w:rsidP="00BF3A2E">
            <w:pPr>
              <w:jc w:val="both"/>
              <w:rPr>
                <w:rFonts w:asciiTheme="minorHAnsi" w:hAnsiTheme="minorHAnsi" w:cstheme="minorHAnsi"/>
              </w:rPr>
            </w:pPr>
          </w:p>
          <w:p w14:paraId="47A104A5"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kompresji danych online, gdzie dane zapisywane w macierzy są kompresowane w locie i zapisywane na dyskach w postaci skompresowanej, a przy odczycie dane są również w locie dekompresowane i w takiej postaci przesyłane poza macierz. Operacja kompresji nie może wymagać alokacji innej przestrzeni dyskowej niż ta, która jest niezbędna do zapisania skompresowanych danych.</w:t>
            </w:r>
            <w:r w:rsidRPr="00E306DC">
              <w:rPr>
                <w:rFonts w:asciiTheme="minorHAnsi" w:hAnsiTheme="minorHAnsi" w:cstheme="minorHAnsi"/>
              </w:rPr>
              <w:br/>
              <w:t xml:space="preserve">Funkcjonalność kompresji musi być wspierana przed dedykowany układ sprzętowej akceleracji kompresji i musi być dostępna dla wszystkich rodzajów obsługiwanych nośników (dysków obrotowych i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/SSD) zarówno w ramach wewnętrznych zasobów macierzy jak i zasobów </w:t>
            </w:r>
            <w:proofErr w:type="spellStart"/>
            <w:r w:rsidRPr="00E306DC">
              <w:rPr>
                <w:rFonts w:asciiTheme="minorHAnsi" w:hAnsiTheme="minorHAnsi" w:cstheme="minorHAnsi"/>
              </w:rPr>
              <w:lastRenderedPageBreak/>
              <w:t>wirtualizowanych</w:t>
            </w:r>
            <w:proofErr w:type="spellEnd"/>
            <w:r w:rsidRPr="00E306DC">
              <w:rPr>
                <w:rFonts w:asciiTheme="minorHAnsi" w:hAnsiTheme="minorHAnsi" w:cstheme="minorHAnsi"/>
              </w:rPr>
              <w:t>. Macierz powinna posiadać zintegrowane oprogramowanie pozwalające na estymację stopnia kompresji eksploatowanych wolumenów bez włączania kompresji. Jeżeli funkcjonalność wymaga licencji, należy taką licencję dostarczyć dla oferowanej konfiguracji macierzy.</w:t>
            </w:r>
          </w:p>
          <w:p w14:paraId="073C1832" w14:textId="77777777" w:rsidR="00BF3A2E" w:rsidRPr="00E306DC" w:rsidRDefault="00BF3A2E" w:rsidP="00BF3A2E">
            <w:pPr>
              <w:pStyle w:val="Akapitzlist"/>
              <w:rPr>
                <w:rFonts w:asciiTheme="minorHAnsi" w:hAnsiTheme="minorHAnsi" w:cstheme="minorHAnsi"/>
              </w:rPr>
            </w:pPr>
          </w:p>
          <w:p w14:paraId="2778D902"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umożliwiać tworzenie grup hostów oraz wirtualizację portów hostów (NPIV).</w:t>
            </w:r>
          </w:p>
          <w:p w14:paraId="6229E6F5" w14:textId="77777777" w:rsidR="00BF3A2E" w:rsidRPr="00E306DC" w:rsidRDefault="00BF3A2E" w:rsidP="00BF3A2E">
            <w:pPr>
              <w:jc w:val="both"/>
              <w:rPr>
                <w:rFonts w:asciiTheme="minorHAnsi" w:hAnsiTheme="minorHAnsi" w:cstheme="minorHAnsi"/>
              </w:rPr>
            </w:pPr>
          </w:p>
          <w:p w14:paraId="7C8E3EE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w:t>
            </w:r>
            <w:proofErr w:type="spellStart"/>
            <w:r w:rsidRPr="00E306DC">
              <w:rPr>
                <w:rFonts w:asciiTheme="minorHAnsi" w:hAnsiTheme="minorHAnsi" w:cstheme="minorHAnsi"/>
              </w:rPr>
              <w:t>deduplikacji</w:t>
            </w:r>
            <w:proofErr w:type="spellEnd"/>
            <w:r w:rsidRPr="00E306DC">
              <w:rPr>
                <w:rFonts w:asciiTheme="minorHAnsi" w:hAnsiTheme="minorHAnsi" w:cstheme="minorHAnsi"/>
              </w:rPr>
              <w:t xml:space="preserve"> danych online, gdzie dane zapisywane w macierzy są </w:t>
            </w:r>
            <w:proofErr w:type="spellStart"/>
            <w:r w:rsidRPr="00E306DC">
              <w:rPr>
                <w:rFonts w:asciiTheme="minorHAnsi" w:hAnsiTheme="minorHAnsi" w:cstheme="minorHAnsi"/>
              </w:rPr>
              <w:t>deduplikowane</w:t>
            </w:r>
            <w:proofErr w:type="spellEnd"/>
            <w:r w:rsidRPr="00E306DC">
              <w:rPr>
                <w:rFonts w:asciiTheme="minorHAnsi" w:hAnsiTheme="minorHAnsi" w:cstheme="minorHAnsi"/>
              </w:rPr>
              <w:t xml:space="preserve"> w locie i zapisywane na dyskach w postaci po usunięciu duplikatów. Operacja nie może wymagać alokacji innej przestrzeni dyskowej niż ta, która jest niezbędna do zapisania </w:t>
            </w:r>
            <w:proofErr w:type="spellStart"/>
            <w:r w:rsidRPr="00E306DC">
              <w:rPr>
                <w:rFonts w:asciiTheme="minorHAnsi" w:hAnsiTheme="minorHAnsi" w:cstheme="minorHAnsi"/>
              </w:rPr>
              <w:t>zdeduplikowanych</w:t>
            </w:r>
            <w:proofErr w:type="spellEnd"/>
            <w:r w:rsidRPr="00E306DC">
              <w:rPr>
                <w:rFonts w:asciiTheme="minorHAnsi" w:hAnsiTheme="minorHAnsi" w:cstheme="minorHAnsi"/>
              </w:rPr>
              <w:t xml:space="preserve"> danych. Producent macierzy musi udostępniać oprogramowanie pozwalające na estymację stopnia </w:t>
            </w:r>
            <w:proofErr w:type="spellStart"/>
            <w:r w:rsidRPr="00E306DC">
              <w:rPr>
                <w:rFonts w:asciiTheme="minorHAnsi" w:hAnsiTheme="minorHAnsi" w:cstheme="minorHAnsi"/>
              </w:rPr>
              <w:t>deduplikacji</w:t>
            </w:r>
            <w:proofErr w:type="spellEnd"/>
            <w:r w:rsidRPr="00E306DC">
              <w:rPr>
                <w:rFonts w:asciiTheme="minorHAnsi" w:hAnsiTheme="minorHAnsi" w:cstheme="minorHAnsi"/>
              </w:rPr>
              <w:t xml:space="preserve"> wolumenów. Jeżeli funkcjonalność wymaga licencji, należy taką licencję dostarczyć dla oferowanej konfiguracji macierzy.</w:t>
            </w:r>
          </w:p>
          <w:p w14:paraId="78105EC9" w14:textId="77777777" w:rsidR="00BF3A2E" w:rsidRPr="00E306DC" w:rsidRDefault="00BF3A2E" w:rsidP="00BF3A2E">
            <w:pPr>
              <w:ind w:left="1065"/>
              <w:jc w:val="both"/>
              <w:rPr>
                <w:rFonts w:asciiTheme="minorHAnsi" w:hAnsiTheme="minorHAnsi" w:cstheme="minorHAnsi"/>
              </w:rPr>
            </w:pPr>
          </w:p>
          <w:p w14:paraId="271145D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migracji danych z innych macierzy dyskowych bez przerywania dostępu danych dla serwerów (import danych). Macierz musi również umożliwiać eksport danych zarządzanych przez tę macierz na inną macierz dyskową. Jeżeli funkcjonalność wymaga licencji, należy taką licencję dostarczyć dla oferowanej konfiguracji macierzy.</w:t>
            </w:r>
          </w:p>
          <w:p w14:paraId="5CB06C6B" w14:textId="77777777" w:rsidR="00BF3A2E" w:rsidRPr="00E306DC" w:rsidRDefault="00BF3A2E" w:rsidP="00BF3A2E">
            <w:pPr>
              <w:jc w:val="both"/>
              <w:rPr>
                <w:rFonts w:asciiTheme="minorHAnsi" w:hAnsiTheme="minorHAnsi" w:cstheme="minorHAnsi"/>
              </w:rPr>
            </w:pPr>
          </w:p>
          <w:p w14:paraId="773C2A9F" w14:textId="77777777" w:rsidR="00BF3A2E" w:rsidRPr="00E306DC" w:rsidRDefault="00BF3A2E" w:rsidP="00BF3A2E">
            <w:pPr>
              <w:jc w:val="both"/>
              <w:rPr>
                <w:rFonts w:asciiTheme="minorHAnsi" w:hAnsiTheme="minorHAnsi" w:cstheme="minorHAnsi"/>
              </w:rPr>
            </w:pPr>
          </w:p>
          <w:p w14:paraId="5A3C093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szyfrowania składowanych danych bez konieczności używania dedykowanych dysków. Funkcjonalność szyfrowania musi być również dostępna dla zasobów dyskowych </w:t>
            </w:r>
            <w:proofErr w:type="spellStart"/>
            <w:r w:rsidRPr="00E306DC">
              <w:rPr>
                <w:rFonts w:asciiTheme="minorHAnsi" w:hAnsiTheme="minorHAnsi" w:cstheme="minorHAnsi"/>
              </w:rPr>
              <w:t>wirtualizowanych</w:t>
            </w:r>
            <w:proofErr w:type="spellEnd"/>
            <w:r w:rsidRPr="00E306DC">
              <w:rPr>
                <w:rFonts w:asciiTheme="minorHAnsi" w:hAnsiTheme="minorHAnsi" w:cstheme="minorHAnsi"/>
              </w:rPr>
              <w:t xml:space="preserve"> przez macierz. Zarządzanie kluczami szyfrującymi musi być realizowalne w trybie lokalnym i/lub zdalnym poprzez zastosowanie serwera zarządzającego kluczami.  Jeżeli funkcjonalność </w:t>
            </w:r>
            <w:r w:rsidRPr="00E306DC">
              <w:rPr>
                <w:rFonts w:asciiTheme="minorHAnsi" w:hAnsiTheme="minorHAnsi" w:cstheme="minorHAnsi"/>
              </w:rPr>
              <w:lastRenderedPageBreak/>
              <w:t>wymaga licencji, należy taką licencję dostarczyć dla oferowanej konfiguracji macierzy.</w:t>
            </w:r>
          </w:p>
          <w:p w14:paraId="4C3ACC76" w14:textId="77777777" w:rsidR="00BF3A2E" w:rsidRPr="00E306DC" w:rsidRDefault="00BF3A2E" w:rsidP="00BF3A2E">
            <w:pPr>
              <w:jc w:val="both"/>
              <w:rPr>
                <w:rFonts w:asciiTheme="minorHAnsi" w:hAnsiTheme="minorHAnsi" w:cstheme="minorHAnsi"/>
              </w:rPr>
            </w:pPr>
          </w:p>
          <w:p w14:paraId="06C2B545"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liniowej skalowalności parametrów wydajnościowych zasobów dyskowych oraz ilości obsługiwanych dysków (do co najmniej 3000) poprzez dodanie kolejnych macierzy tego samego typu, przy zachowaniu jednolitego i wspólnego zarządzania zasobami dyskowymi. Jeżeli funkcjonalność wymaga licencji, należy taką licencję dostarczyć dla oferowanej konfiguracji macierzy.</w:t>
            </w:r>
          </w:p>
          <w:p w14:paraId="76B0C8D7" w14:textId="77777777" w:rsidR="00BF3A2E" w:rsidRPr="00E306DC" w:rsidRDefault="00BF3A2E" w:rsidP="00BF3A2E">
            <w:pPr>
              <w:jc w:val="both"/>
              <w:rPr>
                <w:rFonts w:asciiTheme="minorHAnsi" w:hAnsiTheme="minorHAnsi" w:cstheme="minorHAnsi"/>
              </w:rPr>
            </w:pPr>
          </w:p>
          <w:p w14:paraId="7715E9D2"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Sterowniki do obsługi wielościeżkowego dostępu do wolumenów, awarii ścieżki i rozłożenia obciążenia po ścieżkach dostępu powinny być dostępne dla podłączanych systemów operacyjnych typu Windows Server, Linux, AIX. Jeżeli zastosowanie tych sterowników wymaga licencji, musi być dostarczona dla podłączanych systemów operacyjnych i/lub podłączanych serwerów zależnie od sposobu licencjonowania.</w:t>
            </w:r>
          </w:p>
          <w:p w14:paraId="1EB81819" w14:textId="77777777" w:rsidR="00BF3A2E" w:rsidRPr="00E306DC" w:rsidRDefault="00BF3A2E" w:rsidP="00BF3A2E">
            <w:pPr>
              <w:jc w:val="both"/>
              <w:rPr>
                <w:rFonts w:asciiTheme="minorHAnsi" w:hAnsiTheme="minorHAnsi" w:cstheme="minorHAnsi"/>
              </w:rPr>
            </w:pPr>
          </w:p>
          <w:p w14:paraId="4EDD9E98" w14:textId="77777777" w:rsidR="00BF3A2E" w:rsidRPr="00E306DC" w:rsidRDefault="00BF3A2E" w:rsidP="00475C43">
            <w:pPr>
              <w:widowControl/>
              <w:autoSpaceDE/>
              <w:autoSpaceDN/>
              <w:adjustRightInd/>
              <w:ind w:left="360"/>
              <w:jc w:val="both"/>
              <w:rPr>
                <w:rFonts w:asciiTheme="minorHAnsi" w:hAnsiTheme="minorHAnsi" w:cstheme="minorHAnsi"/>
                <w:b/>
                <w:noProof/>
              </w:rPr>
            </w:pPr>
            <w:bookmarkStart w:id="0" w:name="_GoBack"/>
            <w:bookmarkEnd w:id="0"/>
          </w:p>
        </w:tc>
        <w:tc>
          <w:tcPr>
            <w:tcW w:w="1559" w:type="dxa"/>
            <w:vAlign w:val="center"/>
          </w:tcPr>
          <w:p w14:paraId="1B066586" w14:textId="583D9DDA" w:rsidR="00BF3A2E" w:rsidRPr="002049AD" w:rsidRDefault="00BF3A2E" w:rsidP="00BF3A2E">
            <w:pPr>
              <w:spacing w:after="240" w:line="276" w:lineRule="auto"/>
              <w:jc w:val="center"/>
              <w:rPr>
                <w:rFonts w:asciiTheme="minorHAnsi" w:hAnsiTheme="minorHAnsi" w:cstheme="minorHAnsi"/>
                <w:b/>
                <w:noProof/>
                <w:sz w:val="22"/>
                <w:szCs w:val="22"/>
              </w:rPr>
            </w:pPr>
          </w:p>
        </w:tc>
        <w:tc>
          <w:tcPr>
            <w:tcW w:w="2261" w:type="dxa"/>
          </w:tcPr>
          <w:p w14:paraId="631CA305"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5CA6D3A7"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6D32F467"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6F30F4CA"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23F085DE"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5BA553CD" w14:textId="33ADBBCF"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p w14:paraId="08C55B4D" w14:textId="77777777" w:rsidR="00BF3A2E" w:rsidRDefault="00BF3A2E" w:rsidP="00BF3A2E">
            <w:pPr>
              <w:spacing w:after="240" w:line="276" w:lineRule="auto"/>
              <w:jc w:val="both"/>
              <w:rPr>
                <w:rFonts w:asciiTheme="minorHAnsi" w:hAnsiTheme="minorHAnsi" w:cstheme="minorHAnsi"/>
                <w:b/>
                <w:noProof/>
                <w:sz w:val="22"/>
                <w:szCs w:val="22"/>
              </w:rPr>
            </w:pPr>
          </w:p>
          <w:p w14:paraId="4745A108" w14:textId="77777777" w:rsidR="00BF3A2E" w:rsidRDefault="00BF3A2E" w:rsidP="00BF3A2E">
            <w:pPr>
              <w:spacing w:after="240" w:line="276" w:lineRule="auto"/>
              <w:jc w:val="both"/>
              <w:rPr>
                <w:rFonts w:asciiTheme="minorHAnsi" w:hAnsiTheme="minorHAnsi" w:cstheme="minorHAnsi"/>
                <w:b/>
                <w:noProof/>
                <w:sz w:val="22"/>
                <w:szCs w:val="22"/>
              </w:rPr>
            </w:pPr>
          </w:p>
          <w:p w14:paraId="5F718CDC" w14:textId="4DF3FE5B" w:rsidR="00BF3A2E" w:rsidRPr="002049AD" w:rsidRDefault="00BF3A2E" w:rsidP="00BF3A2E">
            <w:pPr>
              <w:spacing w:after="240" w:line="276" w:lineRule="auto"/>
              <w:jc w:val="both"/>
              <w:rPr>
                <w:rFonts w:asciiTheme="minorHAnsi" w:hAnsiTheme="minorHAnsi" w:cstheme="minorHAnsi"/>
                <w:b/>
                <w:noProof/>
                <w:sz w:val="22"/>
                <w:szCs w:val="22"/>
              </w:rPr>
            </w:pPr>
          </w:p>
        </w:tc>
      </w:tr>
      <w:tr w:rsidR="00BF3A2E" w:rsidRPr="002049AD" w14:paraId="0E9CB13C" w14:textId="77777777" w:rsidTr="00BF3A2E">
        <w:tc>
          <w:tcPr>
            <w:tcW w:w="2263" w:type="dxa"/>
          </w:tcPr>
          <w:p w14:paraId="433042E2" w14:textId="7B254C08" w:rsidR="00BF3A2E" w:rsidRPr="00F7593D" w:rsidRDefault="00BF3A2E" w:rsidP="00BF3A2E">
            <w:pPr>
              <w:spacing w:after="240" w:line="276" w:lineRule="auto"/>
              <w:rPr>
                <w:rFonts w:asciiTheme="minorHAnsi" w:hAnsiTheme="minorHAnsi" w:cstheme="minorHAnsi"/>
                <w:b/>
                <w:noProof/>
                <w:sz w:val="22"/>
                <w:szCs w:val="22"/>
              </w:rPr>
            </w:pPr>
            <w:r>
              <w:rPr>
                <w:rFonts w:asciiTheme="minorHAnsi" w:hAnsiTheme="minorHAnsi" w:cstheme="minorHAnsi"/>
              </w:rPr>
              <w:lastRenderedPageBreak/>
              <w:t>Przełą</w:t>
            </w:r>
            <w:r w:rsidRPr="008F26D5">
              <w:rPr>
                <w:rFonts w:asciiTheme="minorHAnsi" w:hAnsiTheme="minorHAnsi" w:cstheme="minorHAnsi"/>
              </w:rPr>
              <w:t>czniki do macierzy dyskowej</w:t>
            </w:r>
          </w:p>
        </w:tc>
        <w:tc>
          <w:tcPr>
            <w:tcW w:w="3686" w:type="dxa"/>
          </w:tcPr>
          <w:p w14:paraId="2D82A248"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Funkcjonalność i wydajność co najmniej taka jak:</w:t>
            </w:r>
          </w:p>
          <w:p w14:paraId="07987741" w14:textId="77777777" w:rsidR="00BF3A2E" w:rsidRPr="00A92D28" w:rsidRDefault="00BF3A2E" w:rsidP="00BF3A2E">
            <w:pPr>
              <w:rPr>
                <w:rFonts w:asciiTheme="minorHAnsi" w:hAnsiTheme="minorHAnsi" w:cstheme="minorHAnsi"/>
              </w:rPr>
            </w:pPr>
          </w:p>
          <w:p w14:paraId="7F23BCF2"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 xml:space="preserve">Przełącznik do zrealizowania dedykowanego połączenia pomiędzy macierzą dyskową a serwerami SAN 48 </w:t>
            </w:r>
            <w:proofErr w:type="spellStart"/>
            <w:r w:rsidRPr="00A92D28">
              <w:rPr>
                <w:rFonts w:asciiTheme="minorHAnsi" w:hAnsiTheme="minorHAnsi" w:cstheme="minorHAnsi"/>
              </w:rPr>
              <w:t>ports</w:t>
            </w:r>
            <w:proofErr w:type="spellEnd"/>
            <w:r w:rsidRPr="00A92D28">
              <w:rPr>
                <w:rFonts w:asciiTheme="minorHAnsi" w:hAnsiTheme="minorHAnsi" w:cstheme="minorHAnsi"/>
              </w:rPr>
              <w:t>, 16Gbps</w:t>
            </w:r>
          </w:p>
          <w:p w14:paraId="191482EF"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Opis szczegółowy:</w:t>
            </w:r>
          </w:p>
          <w:p w14:paraId="42EFB768"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Przełącznik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 (SAN) oparty o technologię </w:t>
            </w:r>
            <w:proofErr w:type="spellStart"/>
            <w:r w:rsidRPr="00A92D28">
              <w:rPr>
                <w:rFonts w:asciiTheme="minorHAnsi" w:hAnsiTheme="minorHAnsi" w:cstheme="minorHAnsi"/>
              </w:rPr>
              <w:t>FibreChannel</w:t>
            </w:r>
            <w:proofErr w:type="spellEnd"/>
            <w:r w:rsidRPr="00A92D28">
              <w:rPr>
                <w:rFonts w:asciiTheme="minorHAnsi" w:hAnsiTheme="minorHAnsi" w:cstheme="minorHAnsi"/>
              </w:rPr>
              <w:t xml:space="preserve"> minimum 32 </w:t>
            </w:r>
            <w:proofErr w:type="spellStart"/>
            <w:r w:rsidRPr="00A92D28">
              <w:rPr>
                <w:rFonts w:asciiTheme="minorHAnsi" w:hAnsiTheme="minorHAnsi" w:cstheme="minorHAnsi"/>
              </w:rPr>
              <w:t>Gb</w:t>
            </w:r>
            <w:proofErr w:type="spellEnd"/>
            <w:r w:rsidRPr="00A92D28">
              <w:rPr>
                <w:rFonts w:asciiTheme="minorHAnsi" w:hAnsiTheme="minorHAnsi" w:cstheme="minorHAnsi"/>
              </w:rPr>
              <w:t xml:space="preserve">/sekundę, zbudowany w architekturze monolitycznej. </w:t>
            </w:r>
          </w:p>
          <w:p w14:paraId="015BED8C"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Przełącznik musi posiadać nadmiarowe wentylatory i zasilacze.</w:t>
            </w:r>
          </w:p>
          <w:p w14:paraId="3EB4C264"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Minimum 64 portowy przełącznika z min. 48 aktywnymi portami. Wszystkie aktywne porty muszą być obsadzone wkładkami optycznymi typu </w:t>
            </w:r>
            <w:proofErr w:type="spellStart"/>
            <w:r w:rsidRPr="00A92D28">
              <w:rPr>
                <w:rFonts w:asciiTheme="minorHAnsi" w:hAnsiTheme="minorHAnsi" w:cstheme="minorHAnsi"/>
              </w:rPr>
              <w:t>Short</w:t>
            </w:r>
            <w:proofErr w:type="spellEnd"/>
            <w:r w:rsidRPr="00A92D28">
              <w:rPr>
                <w:rFonts w:asciiTheme="minorHAnsi" w:hAnsiTheme="minorHAnsi" w:cstheme="minorHAnsi"/>
              </w:rPr>
              <w:t xml:space="preserve"> </w:t>
            </w:r>
            <w:proofErr w:type="spellStart"/>
            <w:r w:rsidRPr="00A92D28">
              <w:rPr>
                <w:rFonts w:asciiTheme="minorHAnsi" w:hAnsiTheme="minorHAnsi" w:cstheme="minorHAnsi"/>
              </w:rPr>
              <w:t>Wave</w:t>
            </w:r>
            <w:proofErr w:type="spellEnd"/>
            <w:r w:rsidRPr="00A92D28">
              <w:rPr>
                <w:rFonts w:asciiTheme="minorHAnsi" w:hAnsiTheme="minorHAnsi" w:cstheme="minorHAnsi"/>
              </w:rPr>
              <w:t xml:space="preserve"> obsługującymi prędkości co najmniej16 </w:t>
            </w:r>
            <w:proofErr w:type="spellStart"/>
            <w:r w:rsidRPr="00A92D28">
              <w:rPr>
                <w:rFonts w:asciiTheme="minorHAnsi" w:hAnsiTheme="minorHAnsi" w:cstheme="minorHAnsi"/>
              </w:rPr>
              <w:t>Gb</w:t>
            </w:r>
            <w:proofErr w:type="spellEnd"/>
            <w:r w:rsidRPr="00A92D28">
              <w:rPr>
                <w:rFonts w:asciiTheme="minorHAnsi" w:hAnsiTheme="minorHAnsi" w:cstheme="minorHAnsi"/>
              </w:rPr>
              <w:t>/sekundę</w:t>
            </w:r>
          </w:p>
          <w:p w14:paraId="37924874"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Przełącznik musi posiadać </w:t>
            </w:r>
            <w:r w:rsidRPr="00A92D28">
              <w:rPr>
                <w:rFonts w:asciiTheme="minorHAnsi" w:hAnsiTheme="minorHAnsi" w:cstheme="minorHAnsi"/>
              </w:rPr>
              <w:lastRenderedPageBreak/>
              <w:t>następujące funkcjonalności:</w:t>
            </w:r>
          </w:p>
          <w:p w14:paraId="01F24C15"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agregacja połączeń ISL z balansowaniem danych na poziomie pojedynczych ramek FC na połączeniach z używanymi obecnie przez zamawiającego przełącznikami sieci SAN </w:t>
            </w:r>
            <w:proofErr w:type="spellStart"/>
            <w:r w:rsidRPr="00A92D28">
              <w:rPr>
                <w:rFonts w:asciiTheme="minorHAnsi" w:hAnsiTheme="minorHAnsi" w:cstheme="minorHAnsi"/>
              </w:rPr>
              <w:t>Brocade</w:t>
            </w:r>
            <w:proofErr w:type="spellEnd"/>
            <w:r w:rsidRPr="00A92D28">
              <w:rPr>
                <w:rFonts w:asciiTheme="minorHAnsi" w:hAnsiTheme="minorHAnsi" w:cstheme="minorHAnsi"/>
              </w:rPr>
              <w:t>,</w:t>
            </w:r>
          </w:p>
          <w:p w14:paraId="475D6F1C"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możliwość podzielenia przełącznika na </w:t>
            </w:r>
            <w:proofErr w:type="spellStart"/>
            <w:r w:rsidRPr="00A92D28">
              <w:rPr>
                <w:rFonts w:asciiTheme="minorHAnsi" w:hAnsiTheme="minorHAnsi" w:cstheme="minorHAnsi"/>
              </w:rPr>
              <w:t>swiche</w:t>
            </w:r>
            <w:proofErr w:type="spellEnd"/>
            <w:r w:rsidRPr="00A92D28">
              <w:rPr>
                <w:rFonts w:asciiTheme="minorHAnsi" w:hAnsiTheme="minorHAnsi" w:cstheme="minorHAnsi"/>
              </w:rPr>
              <w:t xml:space="preserve"> logiczne(wirtualne) w ilości min. 4</w:t>
            </w:r>
          </w:p>
          <w:p w14:paraId="667C68D4"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możliwość rozciągnięcia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 na maksymalną obsługiwaną odległość,</w:t>
            </w:r>
          </w:p>
          <w:p w14:paraId="4DCE6DD3"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ustawianie priorytetów ruchu w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w:t>
            </w:r>
          </w:p>
          <w:p w14:paraId="03580535"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Przełącznik FC musi mieć wysokość maksymalnie 2RU ( jednostka wysokości szafy montażowej) i szerokość 19” oraz zapewniać techniczną możliwość montażu w szafie</w:t>
            </w:r>
          </w:p>
          <w:p w14:paraId="62CC75A7" w14:textId="77777777" w:rsidR="00BF3A2E" w:rsidRPr="002049AD" w:rsidRDefault="00BF3A2E" w:rsidP="00BF3A2E">
            <w:pPr>
              <w:spacing w:after="240" w:line="276" w:lineRule="auto"/>
              <w:rPr>
                <w:rFonts w:asciiTheme="minorHAnsi" w:hAnsiTheme="minorHAnsi" w:cstheme="minorHAnsi"/>
                <w:b/>
                <w:noProof/>
                <w:sz w:val="22"/>
                <w:szCs w:val="22"/>
              </w:rPr>
            </w:pPr>
            <w:r>
              <w:rPr>
                <w:rFonts w:asciiTheme="minorHAnsi" w:hAnsiTheme="minorHAnsi" w:cstheme="minorHAnsi"/>
              </w:rPr>
              <w:t xml:space="preserve">6. </w:t>
            </w:r>
            <w:r w:rsidRPr="00A92D28">
              <w:rPr>
                <w:rFonts w:asciiTheme="minorHAnsi" w:hAnsiTheme="minorHAnsi" w:cstheme="minorHAnsi"/>
              </w:rPr>
              <w:t>Minimum 36 miesięcy serwisu gwarancyjnego realizowanego przez producenta w trybie 24x7 bez gwarantowanego czasu naprawy.</w:t>
            </w:r>
          </w:p>
        </w:tc>
        <w:tc>
          <w:tcPr>
            <w:tcW w:w="1559" w:type="dxa"/>
          </w:tcPr>
          <w:p w14:paraId="58CA78BC" w14:textId="77777777" w:rsidR="00BF3A2E" w:rsidRPr="002049AD" w:rsidRDefault="00BF3A2E" w:rsidP="00BF3A2E">
            <w:pPr>
              <w:spacing w:after="240" w:line="276" w:lineRule="auto"/>
              <w:jc w:val="center"/>
              <w:rPr>
                <w:rFonts w:asciiTheme="minorHAnsi" w:hAnsiTheme="minorHAnsi" w:cstheme="minorHAnsi"/>
                <w:b/>
                <w:noProof/>
                <w:sz w:val="22"/>
                <w:szCs w:val="22"/>
              </w:rPr>
            </w:pPr>
          </w:p>
        </w:tc>
        <w:tc>
          <w:tcPr>
            <w:tcW w:w="2261" w:type="dxa"/>
          </w:tcPr>
          <w:p w14:paraId="6A86A1CE"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49FA500D"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22DDD200"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32CE0438"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2484B75B"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127ADDD3" w14:textId="77777777" w:rsidR="00BF3A2E" w:rsidRPr="002049AD"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tc>
      </w:tr>
    </w:tbl>
    <w:p w14:paraId="4CE1A47B" w14:textId="164C41BD" w:rsidR="00623E77" w:rsidRDefault="00623E77" w:rsidP="00D007E3">
      <w:pPr>
        <w:spacing w:after="240" w:line="276" w:lineRule="auto"/>
        <w:jc w:val="both"/>
        <w:rPr>
          <w:rFonts w:asciiTheme="minorHAnsi" w:hAnsiTheme="minorHAnsi"/>
          <w:b/>
          <w:noProof/>
          <w:sz w:val="22"/>
          <w:szCs w:val="22"/>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1E2EA8" w14:paraId="31B7FCAB" w14:textId="77777777" w:rsidTr="0013299C">
        <w:tc>
          <w:tcPr>
            <w:tcW w:w="8359" w:type="dxa"/>
          </w:tcPr>
          <w:p w14:paraId="5FF3FA7F" w14:textId="0687894C"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od oferenta podania w ofercie pełnych nazw oferowanego sprzętu</w:t>
            </w:r>
          </w:p>
        </w:tc>
        <w:tc>
          <w:tcPr>
            <w:tcW w:w="1410" w:type="dxa"/>
          </w:tcPr>
          <w:p w14:paraId="2DDDD16D" w14:textId="77777777" w:rsidR="001E2EA8" w:rsidRDefault="001E2EA8" w:rsidP="001E2EA8">
            <w:pPr>
              <w:spacing w:after="240" w:line="276" w:lineRule="auto"/>
              <w:jc w:val="both"/>
              <w:rPr>
                <w:rFonts w:asciiTheme="minorHAnsi" w:hAnsiTheme="minorHAnsi"/>
                <w:b/>
                <w:noProof/>
                <w:sz w:val="22"/>
                <w:szCs w:val="22"/>
              </w:rPr>
            </w:pPr>
          </w:p>
        </w:tc>
      </w:tr>
      <w:tr w:rsidR="001E2EA8" w14:paraId="5EE873E3" w14:textId="77777777" w:rsidTr="0013299C">
        <w:tc>
          <w:tcPr>
            <w:tcW w:w="8359" w:type="dxa"/>
          </w:tcPr>
          <w:p w14:paraId="7A64FD31" w14:textId="70482CF3"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0F522F2C" w14:textId="77777777" w:rsidR="001E2EA8" w:rsidRDefault="001E2EA8" w:rsidP="001E2EA8">
            <w:pPr>
              <w:spacing w:after="240" w:line="276" w:lineRule="auto"/>
              <w:jc w:val="both"/>
              <w:rPr>
                <w:rFonts w:asciiTheme="minorHAnsi" w:hAnsiTheme="minorHAnsi"/>
                <w:b/>
                <w:noProof/>
                <w:sz w:val="22"/>
                <w:szCs w:val="22"/>
              </w:rPr>
            </w:pPr>
          </w:p>
        </w:tc>
      </w:tr>
      <w:tr w:rsidR="001E2EA8" w14:paraId="4D06DDE5" w14:textId="77777777" w:rsidTr="0013299C">
        <w:tc>
          <w:tcPr>
            <w:tcW w:w="8359" w:type="dxa"/>
          </w:tcPr>
          <w:p w14:paraId="16B2C18E" w14:textId="17C4451F"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 xml:space="preserve">Urządzenia muszą być fabrycznie nowe i nieużywane wcześniej w żadnych innych projektach. </w:t>
            </w:r>
          </w:p>
        </w:tc>
        <w:tc>
          <w:tcPr>
            <w:tcW w:w="1410" w:type="dxa"/>
          </w:tcPr>
          <w:p w14:paraId="62B82240" w14:textId="77777777" w:rsidR="001E2EA8" w:rsidRDefault="001E2EA8" w:rsidP="001E2EA8">
            <w:pPr>
              <w:spacing w:after="240" w:line="276" w:lineRule="auto"/>
              <w:jc w:val="both"/>
              <w:rPr>
                <w:rFonts w:asciiTheme="minorHAnsi" w:hAnsiTheme="minorHAnsi"/>
                <w:b/>
                <w:noProof/>
                <w:sz w:val="22"/>
                <w:szCs w:val="22"/>
              </w:rPr>
            </w:pPr>
          </w:p>
        </w:tc>
      </w:tr>
      <w:tr w:rsidR="001E2EA8" w14:paraId="59C0CDF1" w14:textId="77777777" w:rsidTr="0013299C">
        <w:tc>
          <w:tcPr>
            <w:tcW w:w="8359" w:type="dxa"/>
          </w:tcPr>
          <w:p w14:paraId="1B7B8292" w14:textId="11124C7F"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aby dostarczony sprzęt był zarejestrowany w systemie producenta na Zamawiającego</w:t>
            </w:r>
          </w:p>
        </w:tc>
        <w:tc>
          <w:tcPr>
            <w:tcW w:w="1410" w:type="dxa"/>
          </w:tcPr>
          <w:p w14:paraId="6C4CCF7D" w14:textId="77777777" w:rsidR="001E2EA8" w:rsidRDefault="001E2EA8" w:rsidP="001E2EA8">
            <w:pPr>
              <w:spacing w:after="240" w:line="276" w:lineRule="auto"/>
              <w:jc w:val="both"/>
              <w:rPr>
                <w:rFonts w:asciiTheme="minorHAnsi" w:hAnsiTheme="minorHAnsi"/>
                <w:b/>
                <w:noProof/>
                <w:sz w:val="22"/>
                <w:szCs w:val="22"/>
              </w:rPr>
            </w:pPr>
          </w:p>
        </w:tc>
      </w:tr>
      <w:tr w:rsidR="001E2EA8" w14:paraId="29115E27" w14:textId="77777777" w:rsidTr="0013299C">
        <w:tc>
          <w:tcPr>
            <w:tcW w:w="8359" w:type="dxa"/>
          </w:tcPr>
          <w:p w14:paraId="54A9872B" w14:textId="4917D182"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by konieczne oprogramowanie dostarczone wraz ze sprzętem było w wersji aktualnej (tzn. opublikowanej przez producenta nie wcześniej niż 6 miesięcy) na dzień poprzedzający dzień składania ofert lub zostało zaktualizowane podczas wsparcia przy uruchomieniu na ewentualny koszt Wykonawcy.</w:t>
            </w:r>
          </w:p>
        </w:tc>
        <w:tc>
          <w:tcPr>
            <w:tcW w:w="1410" w:type="dxa"/>
          </w:tcPr>
          <w:p w14:paraId="06B356B0" w14:textId="77777777" w:rsidR="001E2EA8" w:rsidRDefault="001E2EA8" w:rsidP="001E2EA8">
            <w:pPr>
              <w:spacing w:after="240" w:line="276" w:lineRule="auto"/>
              <w:jc w:val="both"/>
              <w:rPr>
                <w:rFonts w:asciiTheme="minorHAnsi" w:hAnsiTheme="minorHAnsi"/>
                <w:b/>
                <w:noProof/>
                <w:sz w:val="22"/>
                <w:szCs w:val="22"/>
              </w:rPr>
            </w:pPr>
          </w:p>
        </w:tc>
      </w:tr>
      <w:tr w:rsidR="001E2EA8" w14:paraId="6E29E523" w14:textId="77777777" w:rsidTr="0013299C">
        <w:tc>
          <w:tcPr>
            <w:tcW w:w="8359" w:type="dxa"/>
          </w:tcPr>
          <w:p w14:paraId="1A55CB32" w14:textId="2B5AED1D"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Cały oferowany sprzęt w dniu składania ofert nie może znajdować się na liście produktów wycofanych z produkcji lub sprzedaży (</w:t>
            </w:r>
            <w:proofErr w:type="spellStart"/>
            <w:r w:rsidRPr="00E11E49">
              <w:rPr>
                <w:rFonts w:asciiTheme="minorHAnsi" w:hAnsiTheme="minorHAnsi" w:cstheme="minorHAnsi"/>
              </w:rPr>
              <w:t>EoS</w:t>
            </w:r>
            <w:proofErr w:type="spellEnd"/>
            <w:r w:rsidRPr="00E11E49">
              <w:rPr>
                <w:rFonts w:asciiTheme="minorHAnsi" w:hAnsiTheme="minorHAnsi" w:cstheme="minorHAnsi"/>
              </w:rPr>
              <w:t xml:space="preserve">), a czas życia produktu (możliwość wykupienia/odnowienia wsparcia/serwisu producenta) musi wynosić co najmniej 5 lat od daty </w:t>
            </w:r>
            <w:r w:rsidRPr="00E11E49">
              <w:rPr>
                <w:rFonts w:asciiTheme="minorHAnsi" w:hAnsiTheme="minorHAnsi" w:cstheme="minorHAnsi"/>
              </w:rPr>
              <w:lastRenderedPageBreak/>
              <w:t>złożenia oferty.</w:t>
            </w:r>
          </w:p>
        </w:tc>
        <w:tc>
          <w:tcPr>
            <w:tcW w:w="1410" w:type="dxa"/>
          </w:tcPr>
          <w:p w14:paraId="68610C83" w14:textId="77777777" w:rsidR="001E2EA8" w:rsidRDefault="001E2EA8" w:rsidP="001E2EA8">
            <w:pPr>
              <w:spacing w:after="240" w:line="276" w:lineRule="auto"/>
              <w:jc w:val="both"/>
              <w:rPr>
                <w:rFonts w:asciiTheme="minorHAnsi" w:hAnsiTheme="minorHAnsi"/>
                <w:b/>
                <w:noProof/>
                <w:sz w:val="22"/>
                <w:szCs w:val="22"/>
              </w:rPr>
            </w:pPr>
          </w:p>
        </w:tc>
      </w:tr>
      <w:tr w:rsidR="001E2EA8" w14:paraId="408695BA" w14:textId="77777777" w:rsidTr="0013299C">
        <w:tc>
          <w:tcPr>
            <w:tcW w:w="8359" w:type="dxa"/>
          </w:tcPr>
          <w:p w14:paraId="584870F7" w14:textId="7C8DCEC2"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lastRenderedPageBreak/>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6E229A4E" w14:textId="77777777" w:rsidR="001E2EA8" w:rsidRDefault="001E2EA8" w:rsidP="001E2EA8">
            <w:pPr>
              <w:spacing w:after="240" w:line="276" w:lineRule="auto"/>
              <w:jc w:val="both"/>
              <w:rPr>
                <w:rFonts w:asciiTheme="minorHAnsi" w:hAnsiTheme="minorHAnsi"/>
                <w:b/>
                <w:noProof/>
                <w:sz w:val="22"/>
                <w:szCs w:val="22"/>
              </w:rPr>
            </w:pPr>
          </w:p>
        </w:tc>
      </w:tr>
    </w:tbl>
    <w:p w14:paraId="376484CA" w14:textId="77777777" w:rsidR="00623E77" w:rsidRPr="00D007E3"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tbl>
      <w:tblPr>
        <w:tblW w:w="5000" w:type="pct"/>
        <w:tblCellMar>
          <w:left w:w="10" w:type="dxa"/>
          <w:right w:w="10" w:type="dxa"/>
        </w:tblCellMar>
        <w:tblLook w:val="0000" w:firstRow="0" w:lastRow="0" w:firstColumn="0" w:lastColumn="0" w:noHBand="0" w:noVBand="0"/>
      </w:tblPr>
      <w:tblGrid>
        <w:gridCol w:w="5111"/>
        <w:gridCol w:w="4688"/>
      </w:tblGrid>
      <w:tr w:rsidR="00BE421F" w:rsidRPr="00BE421F" w14:paraId="1DF51E20" w14:textId="77777777" w:rsidTr="0013299C">
        <w:trPr>
          <w:trHeight w:val="988"/>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561AB68D" w14:textId="6DE0307F"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eastAsia="Arial" w:hAnsiTheme="minorHAnsi" w:cstheme="minorHAnsi"/>
                <w:sz w:val="22"/>
                <w:szCs w:val="22"/>
                <w:lang w:eastAsia="en-US"/>
              </w:rPr>
              <w:t>Wysokość proponowanej przez Oferenta (Wykonawcę)  ceny netto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2358BA70" w14:textId="6BA82AF1"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16CE056B" w14:textId="77777777" w:rsidTr="0013299C">
        <w:trPr>
          <w:trHeight w:val="974"/>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00371A01" w14:textId="40110AFA"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hAnsiTheme="minorHAnsi" w:cstheme="minorHAnsi"/>
                <w:sz w:val="22"/>
              </w:rPr>
              <w:t>Wysokość proponowanej przez Oferenta (Wykonawcę)  ceny brutto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tcPr>
          <w:p w14:paraId="5CED4DC9" w14:textId="77777777"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bl>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2D36D4">
      <w:pPr>
        <w:pStyle w:val="Akapitzlist"/>
        <w:numPr>
          <w:ilvl w:val="0"/>
          <w:numId w:val="19"/>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7F256A">
      <w:pPr>
        <w:pStyle w:val="Akapitzlist"/>
        <w:numPr>
          <w:ilvl w:val="0"/>
          <w:numId w:val="32"/>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7F256A">
      <w:pPr>
        <w:pStyle w:val="Akapitzlist"/>
        <w:numPr>
          <w:ilvl w:val="0"/>
          <w:numId w:val="32"/>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7F256A">
      <w:pPr>
        <w:pStyle w:val="Akapitzlist"/>
        <w:numPr>
          <w:ilvl w:val="0"/>
          <w:numId w:val="32"/>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7F256A">
      <w:pPr>
        <w:pStyle w:val="Akapitzlist"/>
        <w:numPr>
          <w:ilvl w:val="0"/>
          <w:numId w:val="19"/>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Aktualny odpis z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rejestru albo 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wpisie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je</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eli odr</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bne przepisy wymagaj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 wpisu do rejestru lub zg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oszenia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p>
    <w:p w14:paraId="764EB5A0" w14:textId="340C9A95"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Urz</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du Skarbowego o niezaleganiu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podatków, lub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 xml:space="preserve">wiadczenia,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1A4E2F" w:rsidRPr="00BF3A2E">
        <w:t xml:space="preserve"> </w:t>
      </w:r>
      <w:r w:rsidR="001A4E2F" w:rsidRPr="00BF3A2E">
        <w:rPr>
          <w:rFonts w:asciiTheme="minorHAnsi" w:hAnsiTheme="minorHAnsi" w:cstheme="minorHAnsi"/>
          <w:noProof/>
          <w:sz w:val="22"/>
          <w:szCs w:val="24"/>
        </w:rPr>
        <w:t>W przypadku podmiotów zagranicznych - za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wiadczenie z w</w:t>
      </w:r>
      <w:r w:rsidR="001A4E2F" w:rsidRPr="00BF3A2E">
        <w:rPr>
          <w:rFonts w:asciiTheme="minorHAnsi" w:hAnsiTheme="minorHAnsi" w:cstheme="minorHAnsi" w:hint="eastAsia"/>
          <w:noProof/>
          <w:sz w:val="22"/>
          <w:szCs w:val="24"/>
        </w:rPr>
        <w:t>ł</w:t>
      </w:r>
      <w:r w:rsidR="001A4E2F" w:rsidRPr="00BF3A2E">
        <w:rPr>
          <w:rFonts w:asciiTheme="minorHAnsi" w:hAnsiTheme="minorHAnsi" w:cstheme="minorHAnsi"/>
          <w:noProof/>
          <w:sz w:val="22"/>
          <w:szCs w:val="24"/>
        </w:rPr>
        <w:t>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ciwego organu kontroli skarbowej.</w:t>
      </w:r>
    </w:p>
    <w:p w14:paraId="449AA273" w14:textId="786A8FD2" w:rsidR="007D4D72" w:rsidRPr="00BF3A2E" w:rsidRDefault="007D4D72" w:rsidP="00E902E6">
      <w:pPr>
        <w:pStyle w:val="Akapitzlist"/>
        <w:numPr>
          <w:ilvl w:val="0"/>
          <w:numId w:val="37"/>
        </w:numPr>
        <w:spacing w:line="276" w:lineRule="auto"/>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Zak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adu Ubezpiecze</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ecznych lub Kasy Rolniczego Ubezpieczenia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ecznego potwierdzaj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cego,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wykonawca nie zalega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adek na ubezpieczenia zdrowotne i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eczne, lub potwierdzenia,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w:t>
      </w:r>
      <w:r w:rsidRPr="00BF3A2E">
        <w:rPr>
          <w:rFonts w:asciiTheme="minorHAnsi" w:hAnsiTheme="minorHAnsi" w:cstheme="minorHAnsi"/>
          <w:noProof/>
          <w:sz w:val="22"/>
          <w:szCs w:val="24"/>
        </w:rPr>
        <w:lastRenderedPageBreak/>
        <w:t>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695466" w:rsidRPr="00BF3A2E">
        <w:rPr>
          <w:rFonts w:asciiTheme="minorHAnsi" w:hAnsiTheme="minorHAnsi" w:cstheme="minorHAnsi"/>
          <w:noProof/>
          <w:sz w:val="22"/>
          <w:szCs w:val="24"/>
        </w:rPr>
        <w:t xml:space="preserve"> W przypadku podmiotów zagranicznych - nie dotyczy.</w:t>
      </w:r>
    </w:p>
    <w:p w14:paraId="7B570232"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braku powi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za</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z Zamawiaj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cym </w:t>
      </w:r>
    </w:p>
    <w:p w14:paraId="53FC31FF"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Wykonawcy o braku podstaw do wykluczenia</w:t>
      </w:r>
    </w:p>
    <w:p w14:paraId="0D16EAF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Specyfikacja techniczna </w:t>
      </w:r>
    </w:p>
    <w:p w14:paraId="4340CBB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Podpisane zapytanie ofertowe </w:t>
      </w:r>
    </w:p>
    <w:p w14:paraId="27D3F7FC"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Podpisany za</w:t>
      </w:r>
      <w:r w:rsidRPr="00BF3A2E">
        <w:rPr>
          <w:rFonts w:asciiTheme="minorHAnsi" w:hAnsiTheme="minorHAnsi" w:cstheme="minorHAnsi" w:hint="eastAsia"/>
          <w:noProof/>
          <w:sz w:val="22"/>
          <w:szCs w:val="24"/>
        </w:rPr>
        <w:t>łą</w:t>
      </w:r>
      <w:r w:rsidRPr="00BF3A2E">
        <w:rPr>
          <w:rFonts w:asciiTheme="minorHAnsi" w:hAnsiTheme="minorHAnsi" w:cstheme="minorHAnsi"/>
          <w:noProof/>
          <w:sz w:val="22"/>
          <w:szCs w:val="24"/>
        </w:rPr>
        <w:t xml:space="preserve">cznik „Wzór umowy” </w:t>
      </w:r>
    </w:p>
    <w:p w14:paraId="09DD437C"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Potwierdzenie wp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acenia wadium</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7F256A">
      <w:pPr>
        <w:pStyle w:val="Akapitzlist"/>
        <w:numPr>
          <w:ilvl w:val="0"/>
          <w:numId w:val="19"/>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9"/>
      <w:footerReference w:type="default" r:id="rId10"/>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BA2B2" w14:textId="77777777" w:rsidR="00E51D8E" w:rsidRDefault="00E51D8E" w:rsidP="00215CEC">
      <w:r>
        <w:separator/>
      </w:r>
    </w:p>
  </w:endnote>
  <w:endnote w:type="continuationSeparator" w:id="0">
    <w:p w14:paraId="58C26817" w14:textId="77777777" w:rsidR="00E51D8E" w:rsidRDefault="00E51D8E"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366503"/>
      <w:docPartObj>
        <w:docPartGallery w:val="Page Numbers (Bottom of Page)"/>
        <w:docPartUnique/>
      </w:docPartObj>
    </w:sdtPr>
    <w:sdtEndPr/>
    <w:sdtContent>
      <w:p w14:paraId="4F58100B" w14:textId="77777777" w:rsidR="00F90067" w:rsidRDefault="004776A6">
        <w:pPr>
          <w:pStyle w:val="Stopka"/>
          <w:jc w:val="right"/>
        </w:pPr>
        <w:r>
          <w:fldChar w:fldCharType="begin"/>
        </w:r>
        <w:r w:rsidR="006C4C62">
          <w:instrText>PAGE   \* MERGEFORMAT</w:instrText>
        </w:r>
        <w:r>
          <w:fldChar w:fldCharType="separate"/>
        </w:r>
        <w:r w:rsidR="00475C43">
          <w:rPr>
            <w:noProof/>
          </w:rPr>
          <w:t>14</w:t>
        </w:r>
        <w:r>
          <w:rPr>
            <w:noProof/>
          </w:rPr>
          <w:fldChar w:fldCharType="end"/>
        </w:r>
      </w:p>
    </w:sdtContent>
  </w:sdt>
  <w:p w14:paraId="006C48CC" w14:textId="77777777" w:rsidR="00AE0D57" w:rsidRPr="00921825" w:rsidRDefault="00AE0D57" w:rsidP="00AE0D57">
    <w:pPr>
      <w:ind w:left="360"/>
      <w:jc w:val="both"/>
      <w:rPr>
        <w:rFonts w:ascii="Calibri" w:hAnsi="Calibri"/>
      </w:rPr>
    </w:pPr>
    <w:r>
      <w:tab/>
    </w:r>
  </w:p>
  <w:p w14:paraId="55316292" w14:textId="77777777" w:rsidR="001F665B" w:rsidRDefault="001F665B" w:rsidP="00AE0D57">
    <w:pPr>
      <w:tabs>
        <w:tab w:val="left" w:pos="14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CFD12" w14:textId="77777777" w:rsidR="00E51D8E" w:rsidRDefault="00E51D8E" w:rsidP="00215CEC">
      <w:r>
        <w:separator/>
      </w:r>
    </w:p>
  </w:footnote>
  <w:footnote w:type="continuationSeparator" w:id="0">
    <w:p w14:paraId="5387F7D8" w14:textId="77777777" w:rsidR="00E51D8E" w:rsidRDefault="00E51D8E" w:rsidP="00215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9C4AF" w14:textId="7D6A532A" w:rsidR="007A1225" w:rsidRDefault="00F7593D"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1F665B" w:rsidRDefault="001F66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5FBE"/>
    <w:multiLevelType w:val="hybridMultilevel"/>
    <w:tmpl w:val="72D23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
    <w:nsid w:val="10F07D72"/>
    <w:multiLevelType w:val="hybridMultilevel"/>
    <w:tmpl w:val="C7CA496A"/>
    <w:lvl w:ilvl="0" w:tplc="10E8F3BC">
      <w:start w:val="1"/>
      <w:numFmt w:val="decimal"/>
      <w:lvlText w:val="%1."/>
      <w:lvlJc w:val="left"/>
      <w:pPr>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1022FF9"/>
    <w:multiLevelType w:val="hybridMultilevel"/>
    <w:tmpl w:val="57DE4240"/>
    <w:lvl w:ilvl="0" w:tplc="EFDA10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6E4856"/>
    <w:multiLevelType w:val="hybridMultilevel"/>
    <w:tmpl w:val="57E8DD54"/>
    <w:lvl w:ilvl="0" w:tplc="A126E0A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nsid w:val="1BB52E29"/>
    <w:multiLevelType w:val="hybridMultilevel"/>
    <w:tmpl w:val="993C3248"/>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1D36456D"/>
    <w:multiLevelType w:val="hybridMultilevel"/>
    <w:tmpl w:val="46FA4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4322E2"/>
    <w:multiLevelType w:val="hybridMultilevel"/>
    <w:tmpl w:val="F27868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5D0549A"/>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84B0AC8"/>
    <w:multiLevelType w:val="hybridMultilevel"/>
    <w:tmpl w:val="5C603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C685879"/>
    <w:multiLevelType w:val="hybridMultilevel"/>
    <w:tmpl w:val="E82222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nsid w:val="2EFB08CC"/>
    <w:multiLevelType w:val="hybridMultilevel"/>
    <w:tmpl w:val="70A84D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nsid w:val="2F2C621B"/>
    <w:multiLevelType w:val="multilevel"/>
    <w:tmpl w:val="336E6E5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452937"/>
    <w:multiLevelType w:val="hybridMultilevel"/>
    <w:tmpl w:val="A4503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F9754B"/>
    <w:multiLevelType w:val="hybridMultilevel"/>
    <w:tmpl w:val="0540B7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76C779E"/>
    <w:multiLevelType w:val="hybridMultilevel"/>
    <w:tmpl w:val="8AA694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37FA2879"/>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BB67AEC"/>
    <w:multiLevelType w:val="hybridMultilevel"/>
    <w:tmpl w:val="C822381E"/>
    <w:lvl w:ilvl="0" w:tplc="A126E0A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3D6627A1"/>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E354150"/>
    <w:multiLevelType w:val="hybridMultilevel"/>
    <w:tmpl w:val="D60296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E90954"/>
    <w:multiLevelType w:val="hybridMultilevel"/>
    <w:tmpl w:val="161A21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nsid w:val="426612F8"/>
    <w:multiLevelType w:val="hybridMultilevel"/>
    <w:tmpl w:val="E21AA4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43F841A4"/>
    <w:multiLevelType w:val="hybridMultilevel"/>
    <w:tmpl w:val="A9AA5F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58E1174"/>
    <w:multiLevelType w:val="hybridMultilevel"/>
    <w:tmpl w:val="A83CAB0C"/>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467130F8"/>
    <w:multiLevelType w:val="hybridMultilevel"/>
    <w:tmpl w:val="084EFCEE"/>
    <w:lvl w:ilvl="0" w:tplc="B382FE8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nsid w:val="490D4350"/>
    <w:multiLevelType w:val="hybridMultilevel"/>
    <w:tmpl w:val="76762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531599"/>
    <w:multiLevelType w:val="hybridMultilevel"/>
    <w:tmpl w:val="83CCB5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DB321B1"/>
    <w:multiLevelType w:val="hybridMultilevel"/>
    <w:tmpl w:val="E7BCA1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F703065"/>
    <w:multiLevelType w:val="hybridMultilevel"/>
    <w:tmpl w:val="4470F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0FC1FDF"/>
    <w:multiLevelType w:val="hybridMultilevel"/>
    <w:tmpl w:val="DA6053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nsid w:val="518473D1"/>
    <w:multiLevelType w:val="hybridMultilevel"/>
    <w:tmpl w:val="D3644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7005EB1"/>
    <w:multiLevelType w:val="hybridMultilevel"/>
    <w:tmpl w:val="AF7823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5EE37D48"/>
    <w:multiLevelType w:val="hybridMultilevel"/>
    <w:tmpl w:val="2332B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0334A86"/>
    <w:multiLevelType w:val="hybridMultilevel"/>
    <w:tmpl w:val="BD086C40"/>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66593ADD"/>
    <w:multiLevelType w:val="hybridMultilevel"/>
    <w:tmpl w:val="C7C2EC04"/>
    <w:lvl w:ilvl="0" w:tplc="0415000F">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7">
    <w:nsid w:val="69912D26"/>
    <w:multiLevelType w:val="hybridMultilevel"/>
    <w:tmpl w:val="8F4862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nsid w:val="6A963FDF"/>
    <w:multiLevelType w:val="hybridMultilevel"/>
    <w:tmpl w:val="87320728"/>
    <w:lvl w:ilvl="0" w:tplc="A126E0A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nsid w:val="6B8D54A6"/>
    <w:multiLevelType w:val="hybridMultilevel"/>
    <w:tmpl w:val="6B586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0FC3E5D"/>
    <w:multiLevelType w:val="hybridMultilevel"/>
    <w:tmpl w:val="DD4AFD7C"/>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76100DB2"/>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6CC427E"/>
    <w:multiLevelType w:val="hybridMultilevel"/>
    <w:tmpl w:val="F37696A6"/>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781A5A7F"/>
    <w:multiLevelType w:val="hybridMultilevel"/>
    <w:tmpl w:val="FB8CEF6E"/>
    <w:lvl w:ilvl="0" w:tplc="701A2D0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A281E64"/>
    <w:multiLevelType w:val="hybridMultilevel"/>
    <w:tmpl w:val="589E39E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7"/>
  </w:num>
  <w:num w:numId="3">
    <w:abstractNumId w:val="0"/>
  </w:num>
  <w:num w:numId="4">
    <w:abstractNumId w:val="15"/>
  </w:num>
  <w:num w:numId="5">
    <w:abstractNumId w:val="20"/>
  </w:num>
  <w:num w:numId="6">
    <w:abstractNumId w:val="8"/>
  </w:num>
  <w:num w:numId="7">
    <w:abstractNumId w:val="40"/>
  </w:num>
  <w:num w:numId="8">
    <w:abstractNumId w:val="3"/>
  </w:num>
  <w:num w:numId="9">
    <w:abstractNumId w:val="24"/>
  </w:num>
  <w:num w:numId="10">
    <w:abstractNumId w:val="9"/>
  </w:num>
  <w:num w:numId="11">
    <w:abstractNumId w:val="23"/>
  </w:num>
  <w:num w:numId="12">
    <w:abstractNumId w:val="14"/>
  </w:num>
  <w:num w:numId="13">
    <w:abstractNumId w:val="10"/>
  </w:num>
  <w:num w:numId="14">
    <w:abstractNumId w:val="41"/>
  </w:num>
  <w:num w:numId="15">
    <w:abstractNumId w:val="19"/>
  </w:num>
  <w:num w:numId="16">
    <w:abstractNumId w:val="42"/>
  </w:num>
  <w:num w:numId="17">
    <w:abstractNumId w:val="39"/>
  </w:num>
  <w:num w:numId="18">
    <w:abstractNumId w:val="7"/>
  </w:num>
  <w:num w:numId="19">
    <w:abstractNumId w:val="1"/>
  </w:num>
  <w:num w:numId="20">
    <w:abstractNumId w:val="18"/>
  </w:num>
  <w:num w:numId="21">
    <w:abstractNumId w:val="38"/>
  </w:num>
  <w:num w:numId="22">
    <w:abstractNumId w:val="5"/>
  </w:num>
  <w:num w:numId="23">
    <w:abstractNumId w:val="35"/>
  </w:num>
  <w:num w:numId="24">
    <w:abstractNumId w:val="25"/>
  </w:num>
  <w:num w:numId="25">
    <w:abstractNumId w:val="6"/>
  </w:num>
  <w:num w:numId="26">
    <w:abstractNumId w:val="44"/>
  </w:num>
  <w:num w:numId="27">
    <w:abstractNumId w:val="31"/>
  </w:num>
  <w:num w:numId="28">
    <w:abstractNumId w:val="43"/>
  </w:num>
  <w:num w:numId="29">
    <w:abstractNumId w:val="4"/>
  </w:num>
  <w:num w:numId="30">
    <w:abstractNumId w:val="46"/>
  </w:num>
  <w:num w:numId="31">
    <w:abstractNumId w:val="27"/>
  </w:num>
  <w:num w:numId="32">
    <w:abstractNumId w:val="2"/>
  </w:num>
  <w:num w:numId="33">
    <w:abstractNumId w:val="33"/>
  </w:num>
  <w:num w:numId="34">
    <w:abstractNumId w:val="32"/>
  </w:num>
  <w:num w:numId="35">
    <w:abstractNumId w:val="34"/>
  </w:num>
  <w:num w:numId="36">
    <w:abstractNumId w:val="36"/>
  </w:num>
  <w:num w:numId="37">
    <w:abstractNumId w:val="28"/>
  </w:num>
  <w:num w:numId="38">
    <w:abstractNumId w:val="16"/>
  </w:num>
  <w:num w:numId="39">
    <w:abstractNumId w:val="22"/>
  </w:num>
  <w:num w:numId="40">
    <w:abstractNumId w:val="12"/>
  </w:num>
  <w:num w:numId="41">
    <w:abstractNumId w:val="21"/>
  </w:num>
  <w:num w:numId="42">
    <w:abstractNumId w:val="37"/>
  </w:num>
  <w:num w:numId="43">
    <w:abstractNumId w:val="11"/>
  </w:num>
  <w:num w:numId="44">
    <w:abstractNumId w:val="13"/>
  </w:num>
  <w:num w:numId="45">
    <w:abstractNumId w:val="26"/>
  </w:num>
  <w:num w:numId="46">
    <w:abstractNumId w:val="3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2EA8"/>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3843"/>
    <w:rsid w:val="00473A38"/>
    <w:rsid w:val="00474397"/>
    <w:rsid w:val="0047470E"/>
    <w:rsid w:val="0047475F"/>
    <w:rsid w:val="00474E4F"/>
    <w:rsid w:val="00475536"/>
    <w:rsid w:val="00475C43"/>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218"/>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7F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FEA"/>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3A2E"/>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E29"/>
    <w:rsid w:val="00CA1EDD"/>
    <w:rsid w:val="00CA20EF"/>
    <w:rsid w:val="00CA22F0"/>
    <w:rsid w:val="00CA2F85"/>
    <w:rsid w:val="00CA304C"/>
    <w:rsid w:val="00CA340E"/>
    <w:rsid w:val="00CA3FB1"/>
    <w:rsid w:val="00CA45CD"/>
    <w:rsid w:val="00CA4B42"/>
    <w:rsid w:val="00CA4D45"/>
    <w:rsid w:val="00CA4D61"/>
    <w:rsid w:val="00CA51E7"/>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6D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1D8E"/>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A9E"/>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A5F"/>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4306"/>
    <w:rsid w:val="00FD4359"/>
    <w:rsid w:val="00FD47F9"/>
    <w:rsid w:val="00FD4BE3"/>
    <w:rsid w:val="00FD51ED"/>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3A2E"/>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link w:val="AkapitzlistZnak"/>
    <w:uiPriority w:val="99"/>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character" w:customStyle="1" w:styleId="AkapitzlistZnak">
    <w:name w:val="Akapit z listą Znak"/>
    <w:basedOn w:val="Domylnaczcionkaakapitu"/>
    <w:link w:val="Akapitzlist"/>
    <w:uiPriority w:val="99"/>
    <w:rsid w:val="00E306DC"/>
    <w:rPr>
      <w:rFonts w:ascii="Times New Roman Normalny" w:eastAsiaTheme="minorEastAsia" w:hAnsi="Times New Roman Normalny"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3A2E"/>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link w:val="AkapitzlistZnak"/>
    <w:uiPriority w:val="99"/>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character" w:customStyle="1" w:styleId="AkapitzlistZnak">
    <w:name w:val="Akapit z listą Znak"/>
    <w:basedOn w:val="Domylnaczcionkaakapitu"/>
    <w:link w:val="Akapitzlist"/>
    <w:uiPriority w:val="99"/>
    <w:rsid w:val="00E306DC"/>
    <w:rPr>
      <w:rFonts w:ascii="Times New Roman Normalny" w:eastAsiaTheme="minorEastAsia" w:hAnsi="Times New Roman Normalny"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2103A-6384-43D2-9E87-5CAE0FF4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3335</Words>
  <Characters>20010</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ŁC</cp:lastModifiedBy>
  <cp:revision>8</cp:revision>
  <cp:lastPrinted>2017-07-17T12:02:00Z</cp:lastPrinted>
  <dcterms:created xsi:type="dcterms:W3CDTF">2020-02-21T11:11:00Z</dcterms:created>
  <dcterms:modified xsi:type="dcterms:W3CDTF">2020-02-28T16:17:00Z</dcterms:modified>
</cp:coreProperties>
</file>